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EFF93" w14:textId="77777777" w:rsidR="00BF28CA" w:rsidRPr="00F11F76" w:rsidRDefault="00047110" w:rsidP="00F11F76">
      <w:pPr>
        <w:jc w:val="both"/>
        <w:rPr>
          <w:rFonts w:ascii="Times New Roman" w:hAnsi="Times New Roman" w:cs="Times New Roman"/>
          <w:b/>
          <w:sz w:val="24"/>
          <w:szCs w:val="24"/>
          <w:lang w:val="ro-RO"/>
        </w:rPr>
      </w:pPr>
      <w:r w:rsidRPr="00F11F76">
        <w:rPr>
          <w:rFonts w:ascii="Times New Roman" w:hAnsi="Times New Roman" w:cs="Times New Roman"/>
          <w:b/>
          <w:sz w:val="24"/>
          <w:szCs w:val="24"/>
          <w:lang w:val="ro-RO"/>
        </w:rPr>
        <w:t>Aprobat</w:t>
      </w:r>
      <w:r w:rsidRPr="00F11F76">
        <w:rPr>
          <w:rFonts w:ascii="Times New Roman" w:hAnsi="Times New Roman" w:cs="Times New Roman"/>
          <w:b/>
          <w:sz w:val="24"/>
          <w:szCs w:val="24"/>
          <w:lang w:val="ro-RO"/>
        </w:rPr>
        <w:br/>
        <w:t>Director O.C</w:t>
      </w:r>
      <w:r w:rsidR="00BF28CA" w:rsidRPr="00F11F76">
        <w:rPr>
          <w:rFonts w:ascii="Times New Roman" w:hAnsi="Times New Roman" w:cs="Times New Roman"/>
          <w:b/>
          <w:sz w:val="24"/>
          <w:szCs w:val="24"/>
          <w:lang w:val="ro-RO"/>
        </w:rPr>
        <w:t>.</w:t>
      </w:r>
      <w:r w:rsidRPr="00F11F76">
        <w:rPr>
          <w:rFonts w:ascii="Times New Roman" w:hAnsi="Times New Roman" w:cs="Times New Roman"/>
          <w:b/>
          <w:sz w:val="24"/>
          <w:szCs w:val="24"/>
          <w:lang w:val="ro-RO"/>
        </w:rPr>
        <w:t>N</w:t>
      </w:r>
      <w:r w:rsidR="005B21F6" w:rsidRPr="00F11F76">
        <w:rPr>
          <w:rFonts w:ascii="Times New Roman" w:hAnsi="Times New Roman" w:cs="Times New Roman"/>
          <w:b/>
          <w:sz w:val="24"/>
          <w:szCs w:val="24"/>
          <w:lang w:val="ro-RO"/>
        </w:rPr>
        <w:t xml:space="preserve"> “</w:t>
      </w:r>
      <w:proofErr w:type="spellStart"/>
      <w:r w:rsidR="005B21F6" w:rsidRPr="00F11F76">
        <w:rPr>
          <w:rFonts w:ascii="Times New Roman" w:hAnsi="Times New Roman" w:cs="Times New Roman"/>
          <w:b/>
          <w:sz w:val="24"/>
          <w:szCs w:val="24"/>
          <w:lang w:val="ro-RO"/>
        </w:rPr>
        <w:t>Ovi</w:t>
      </w:r>
      <w:proofErr w:type="spellEnd"/>
      <w:r w:rsidR="00BF28CA" w:rsidRPr="00F11F76">
        <w:rPr>
          <w:rFonts w:ascii="Times New Roman" w:hAnsi="Times New Roman" w:cs="Times New Roman"/>
          <w:b/>
          <w:sz w:val="24"/>
          <w:szCs w:val="24"/>
          <w:lang w:val="ro-RO"/>
        </w:rPr>
        <w:t xml:space="preserve"> Credit” S.R.L.</w:t>
      </w:r>
    </w:p>
    <w:p w14:paraId="0F7F7436" w14:textId="77777777" w:rsidR="00BF28CA" w:rsidRPr="00F11F76" w:rsidRDefault="005B21F6" w:rsidP="00F11F76">
      <w:pPr>
        <w:jc w:val="both"/>
        <w:rPr>
          <w:rFonts w:ascii="Times New Roman" w:hAnsi="Times New Roman" w:cs="Times New Roman"/>
          <w:sz w:val="24"/>
          <w:szCs w:val="24"/>
          <w:lang w:val="ro-RO"/>
        </w:rPr>
      </w:pPr>
      <w:r w:rsidRPr="00F11F76">
        <w:rPr>
          <w:rFonts w:ascii="Times New Roman" w:hAnsi="Times New Roman" w:cs="Times New Roman"/>
          <w:b/>
          <w:sz w:val="24"/>
          <w:szCs w:val="24"/>
          <w:lang w:val="ro-RO"/>
        </w:rPr>
        <w:t>Găină Ghenadie</w:t>
      </w:r>
    </w:p>
    <w:p w14:paraId="2799EBDF" w14:textId="392076FC" w:rsidR="00BF28CA" w:rsidRPr="00F11F76" w:rsidRDefault="00BF28CA" w:rsidP="00F11F76">
      <w:p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p</w:t>
      </w:r>
      <w:r w:rsidR="005B21F6" w:rsidRPr="00F11F76">
        <w:rPr>
          <w:rFonts w:ascii="Times New Roman" w:hAnsi="Times New Roman" w:cs="Times New Roman"/>
          <w:sz w:val="24"/>
          <w:szCs w:val="24"/>
          <w:lang w:val="ro-RO"/>
        </w:rPr>
        <w:t>rin Decizia nr. 1 din 2</w:t>
      </w:r>
      <w:r w:rsidR="0017362A">
        <w:rPr>
          <w:rFonts w:ascii="Times New Roman" w:hAnsi="Times New Roman" w:cs="Times New Roman"/>
          <w:sz w:val="24"/>
          <w:szCs w:val="24"/>
          <w:lang w:val="ro-RO"/>
        </w:rPr>
        <w:t>4</w:t>
      </w:r>
      <w:r w:rsidR="005B21F6" w:rsidRPr="00F11F76">
        <w:rPr>
          <w:rFonts w:ascii="Times New Roman" w:hAnsi="Times New Roman" w:cs="Times New Roman"/>
          <w:sz w:val="24"/>
          <w:szCs w:val="24"/>
          <w:lang w:val="ro-RO"/>
        </w:rPr>
        <w:t xml:space="preserve"> septembrie</w:t>
      </w:r>
      <w:r w:rsidRPr="00F11F76">
        <w:rPr>
          <w:rFonts w:ascii="Times New Roman" w:hAnsi="Times New Roman" w:cs="Times New Roman"/>
          <w:sz w:val="24"/>
          <w:szCs w:val="24"/>
          <w:lang w:val="ro-RO"/>
        </w:rPr>
        <w:t xml:space="preserve"> 201</w:t>
      </w:r>
      <w:r w:rsidR="00D84C47" w:rsidRPr="00F11F76">
        <w:rPr>
          <w:rFonts w:ascii="Times New Roman" w:hAnsi="Times New Roman" w:cs="Times New Roman"/>
          <w:sz w:val="24"/>
          <w:szCs w:val="24"/>
          <w:lang w:val="ro-RO"/>
        </w:rPr>
        <w:t>9</w:t>
      </w:r>
    </w:p>
    <w:p w14:paraId="56FAA2F3" w14:textId="77777777" w:rsidR="00BF28CA" w:rsidRPr="00F11F76" w:rsidRDefault="00BF28CA" w:rsidP="00F11F76">
      <w:pPr>
        <w:jc w:val="both"/>
        <w:rPr>
          <w:rFonts w:ascii="Times New Roman" w:hAnsi="Times New Roman" w:cs="Times New Roman"/>
          <w:i/>
          <w:sz w:val="24"/>
          <w:szCs w:val="24"/>
          <w:lang w:val="ro-RO"/>
        </w:rPr>
      </w:pPr>
      <w:r w:rsidRPr="00F11F76">
        <w:rPr>
          <w:rFonts w:ascii="Times New Roman" w:hAnsi="Times New Roman" w:cs="Times New Roman"/>
          <w:b/>
          <w:sz w:val="24"/>
          <w:szCs w:val="24"/>
          <w:lang w:val="ro-RO"/>
        </w:rPr>
        <w:t>______________</w:t>
      </w:r>
      <w:r w:rsidRPr="00F11F76">
        <w:rPr>
          <w:rFonts w:ascii="Times New Roman" w:hAnsi="Times New Roman" w:cs="Times New Roman"/>
          <w:b/>
          <w:sz w:val="24"/>
          <w:szCs w:val="24"/>
          <w:lang w:val="ro-RO"/>
        </w:rPr>
        <w:br/>
      </w:r>
      <w:r w:rsidRPr="00F11F76">
        <w:rPr>
          <w:rFonts w:ascii="Times New Roman" w:hAnsi="Times New Roman" w:cs="Times New Roman"/>
          <w:i/>
          <w:sz w:val="24"/>
          <w:szCs w:val="24"/>
          <w:lang w:val="ro-RO"/>
        </w:rPr>
        <w:t xml:space="preserve">     (semnătura)</w:t>
      </w:r>
    </w:p>
    <w:p w14:paraId="684A356B" w14:textId="77777777" w:rsidR="00AD47EC" w:rsidRPr="00F11F76" w:rsidRDefault="00AD47EC" w:rsidP="00F11F76">
      <w:pPr>
        <w:jc w:val="both"/>
        <w:rPr>
          <w:rFonts w:ascii="Times New Roman" w:eastAsia="Times New Roman" w:hAnsi="Times New Roman" w:cs="Times New Roman"/>
          <w:sz w:val="24"/>
          <w:szCs w:val="24"/>
          <w:lang w:val="ro-RO"/>
        </w:rPr>
      </w:pPr>
    </w:p>
    <w:p w14:paraId="01F02E5B" w14:textId="77777777" w:rsidR="00AD47EC" w:rsidRPr="00F11F76" w:rsidRDefault="00AD47EC" w:rsidP="00F11F76">
      <w:pPr>
        <w:jc w:val="both"/>
        <w:rPr>
          <w:rFonts w:ascii="Times New Roman" w:eastAsia="Times New Roman" w:hAnsi="Times New Roman" w:cs="Times New Roman"/>
          <w:sz w:val="24"/>
          <w:szCs w:val="24"/>
          <w:lang w:val="ro-RO"/>
        </w:rPr>
      </w:pPr>
    </w:p>
    <w:p w14:paraId="762EFC6C" w14:textId="77777777" w:rsidR="00AD47EC" w:rsidRPr="00F11F76" w:rsidRDefault="00AD47EC" w:rsidP="00F11F76">
      <w:pPr>
        <w:jc w:val="both"/>
        <w:rPr>
          <w:rFonts w:ascii="Times New Roman" w:eastAsia="Times New Roman" w:hAnsi="Times New Roman" w:cs="Times New Roman"/>
          <w:sz w:val="24"/>
          <w:szCs w:val="24"/>
          <w:lang w:val="ro-RO"/>
        </w:rPr>
      </w:pPr>
    </w:p>
    <w:p w14:paraId="0396B141" w14:textId="77777777" w:rsidR="00AD47EC" w:rsidRPr="00F11F76" w:rsidRDefault="00AD47EC" w:rsidP="00F11F76">
      <w:pPr>
        <w:jc w:val="both"/>
        <w:rPr>
          <w:rFonts w:ascii="Times New Roman" w:eastAsia="Times New Roman" w:hAnsi="Times New Roman" w:cs="Times New Roman"/>
          <w:sz w:val="24"/>
          <w:szCs w:val="24"/>
          <w:lang w:val="ro-RO"/>
        </w:rPr>
      </w:pPr>
    </w:p>
    <w:p w14:paraId="471AB1F3" w14:textId="77777777" w:rsidR="00AD47EC" w:rsidRPr="00F11F76" w:rsidRDefault="00AD47EC" w:rsidP="00F11F76">
      <w:pPr>
        <w:jc w:val="both"/>
        <w:rPr>
          <w:rFonts w:ascii="Times New Roman" w:eastAsia="Times New Roman" w:hAnsi="Times New Roman" w:cs="Times New Roman"/>
          <w:sz w:val="24"/>
          <w:szCs w:val="24"/>
          <w:lang w:val="ro-RO"/>
        </w:rPr>
      </w:pPr>
    </w:p>
    <w:p w14:paraId="66299EFA" w14:textId="77777777" w:rsidR="00AD47EC" w:rsidRPr="00F11F76" w:rsidRDefault="00AD47EC" w:rsidP="00F11F76">
      <w:pPr>
        <w:jc w:val="both"/>
        <w:rPr>
          <w:rFonts w:ascii="Times New Roman" w:eastAsia="Times New Roman" w:hAnsi="Times New Roman" w:cs="Times New Roman"/>
          <w:sz w:val="24"/>
          <w:szCs w:val="24"/>
          <w:lang w:val="ro-RO"/>
        </w:rPr>
      </w:pPr>
    </w:p>
    <w:p w14:paraId="65C4C5A5" w14:textId="77777777" w:rsidR="00AD47EC" w:rsidRPr="00F11F76" w:rsidRDefault="00AD47EC" w:rsidP="00F11F76">
      <w:pPr>
        <w:jc w:val="both"/>
        <w:rPr>
          <w:rFonts w:ascii="Times New Roman" w:eastAsia="Times New Roman" w:hAnsi="Times New Roman" w:cs="Times New Roman"/>
          <w:sz w:val="24"/>
          <w:szCs w:val="24"/>
          <w:lang w:val="ro-RO"/>
        </w:rPr>
      </w:pPr>
    </w:p>
    <w:p w14:paraId="48DF2933" w14:textId="77777777" w:rsidR="00AD47EC" w:rsidRPr="00F11F76" w:rsidRDefault="00AD47EC" w:rsidP="00F11F76">
      <w:pPr>
        <w:jc w:val="both"/>
        <w:rPr>
          <w:rFonts w:ascii="Times New Roman" w:eastAsia="Times New Roman" w:hAnsi="Times New Roman" w:cs="Times New Roman"/>
          <w:sz w:val="24"/>
          <w:szCs w:val="24"/>
          <w:lang w:val="ro-RO"/>
        </w:rPr>
      </w:pPr>
    </w:p>
    <w:p w14:paraId="343C76B3" w14:textId="77777777" w:rsidR="00AD47EC" w:rsidRPr="00F11F76" w:rsidRDefault="00AD47EC" w:rsidP="00F11F76">
      <w:pPr>
        <w:jc w:val="both"/>
        <w:rPr>
          <w:rFonts w:ascii="Times New Roman" w:eastAsia="Times New Roman" w:hAnsi="Times New Roman" w:cs="Times New Roman"/>
          <w:sz w:val="24"/>
          <w:szCs w:val="24"/>
          <w:lang w:val="ro-RO"/>
        </w:rPr>
      </w:pPr>
    </w:p>
    <w:p w14:paraId="0EA27D75" w14:textId="77777777" w:rsidR="00AD47EC" w:rsidRPr="00F11F76" w:rsidRDefault="00AD47EC" w:rsidP="00F11F76">
      <w:pPr>
        <w:jc w:val="both"/>
        <w:rPr>
          <w:rFonts w:ascii="Times New Roman" w:eastAsia="Times New Roman" w:hAnsi="Times New Roman" w:cs="Times New Roman"/>
          <w:sz w:val="24"/>
          <w:szCs w:val="24"/>
          <w:lang w:val="ro-RO"/>
        </w:rPr>
      </w:pPr>
    </w:p>
    <w:p w14:paraId="0AB3AF79" w14:textId="77777777" w:rsidR="00AD47EC" w:rsidRPr="00F11F76" w:rsidRDefault="00AD47EC" w:rsidP="00F11F76">
      <w:pPr>
        <w:jc w:val="both"/>
        <w:rPr>
          <w:rFonts w:ascii="Times New Roman" w:eastAsia="Times New Roman" w:hAnsi="Times New Roman" w:cs="Times New Roman"/>
          <w:sz w:val="24"/>
          <w:szCs w:val="24"/>
          <w:lang w:val="ro-RO"/>
        </w:rPr>
      </w:pPr>
    </w:p>
    <w:p w14:paraId="2A5F70C0" w14:textId="77777777" w:rsidR="00AD47EC" w:rsidRPr="00F11F76" w:rsidRDefault="0061117A" w:rsidP="00F11F76">
      <w:pPr>
        <w:spacing w:before="129"/>
        <w:ind w:left="856" w:right="414"/>
        <w:jc w:val="center"/>
        <w:rPr>
          <w:rFonts w:ascii="Times New Roman" w:eastAsia="Times New Roman" w:hAnsi="Times New Roman" w:cs="Times New Roman"/>
          <w:b/>
          <w:sz w:val="28"/>
          <w:szCs w:val="28"/>
          <w:lang w:val="ro-RO"/>
        </w:rPr>
      </w:pPr>
      <w:r w:rsidRPr="00F11F76">
        <w:rPr>
          <w:rFonts w:ascii="Times New Roman" w:hAnsi="Times New Roman" w:cs="Times New Roman"/>
          <w:b/>
          <w:color w:val="131111"/>
          <w:sz w:val="28"/>
          <w:szCs w:val="28"/>
          <w:lang w:val="ro-RO"/>
        </w:rPr>
        <w:t>REGULAMENT PRIVIND CADRUL DE ADMINISTRARE AL</w:t>
      </w:r>
    </w:p>
    <w:p w14:paraId="2A754DA4" w14:textId="77777777" w:rsidR="00AD47EC" w:rsidRPr="00F11F76" w:rsidRDefault="0061117A" w:rsidP="00F11F76">
      <w:pPr>
        <w:spacing w:before="185"/>
        <w:ind w:left="867" w:right="414"/>
        <w:jc w:val="center"/>
        <w:rPr>
          <w:rFonts w:ascii="Times New Roman" w:eastAsia="Times New Roman" w:hAnsi="Times New Roman" w:cs="Times New Roman"/>
          <w:b/>
          <w:sz w:val="28"/>
          <w:szCs w:val="28"/>
          <w:lang w:val="ro-RO"/>
        </w:rPr>
      </w:pPr>
      <w:r w:rsidRPr="00F11F76">
        <w:rPr>
          <w:rFonts w:ascii="Times New Roman" w:hAnsi="Times New Roman" w:cs="Times New Roman"/>
          <w:b/>
          <w:color w:val="131111"/>
          <w:sz w:val="28"/>
          <w:szCs w:val="28"/>
          <w:lang w:val="ro-RO"/>
        </w:rPr>
        <w:t>O.C</w:t>
      </w:r>
      <w:r w:rsidR="00AD47EC" w:rsidRPr="00F11F76">
        <w:rPr>
          <w:rFonts w:ascii="Times New Roman" w:hAnsi="Times New Roman" w:cs="Times New Roman"/>
          <w:b/>
          <w:color w:val="131111"/>
          <w:sz w:val="28"/>
          <w:szCs w:val="28"/>
          <w:lang w:val="ro-RO"/>
        </w:rPr>
        <w:t>.</w:t>
      </w:r>
      <w:r w:rsidRPr="00F11F76">
        <w:rPr>
          <w:rFonts w:ascii="Times New Roman" w:hAnsi="Times New Roman" w:cs="Times New Roman"/>
          <w:b/>
          <w:color w:val="131111"/>
          <w:sz w:val="28"/>
          <w:szCs w:val="28"/>
          <w:lang w:val="ro-RO"/>
        </w:rPr>
        <w:t>N.</w:t>
      </w:r>
      <w:r w:rsidR="00AD47EC" w:rsidRPr="00F11F76">
        <w:rPr>
          <w:rFonts w:ascii="Times New Roman" w:hAnsi="Times New Roman" w:cs="Times New Roman"/>
          <w:b/>
          <w:color w:val="131111"/>
          <w:sz w:val="28"/>
          <w:szCs w:val="28"/>
          <w:lang w:val="ro-RO"/>
        </w:rPr>
        <w:t xml:space="preserve"> “</w:t>
      </w:r>
      <w:r w:rsidR="005B21F6" w:rsidRPr="00F11F76">
        <w:rPr>
          <w:rFonts w:ascii="Times New Roman" w:hAnsi="Times New Roman" w:cs="Times New Roman"/>
          <w:b/>
          <w:color w:val="131111"/>
          <w:sz w:val="28"/>
          <w:szCs w:val="28"/>
          <w:lang w:val="ro-RO"/>
        </w:rPr>
        <w:t>OVI</w:t>
      </w:r>
      <w:r w:rsidRPr="00F11F76">
        <w:rPr>
          <w:rFonts w:ascii="Times New Roman" w:hAnsi="Times New Roman" w:cs="Times New Roman"/>
          <w:b/>
          <w:color w:val="131111"/>
          <w:sz w:val="28"/>
          <w:szCs w:val="28"/>
          <w:lang w:val="ro-RO"/>
        </w:rPr>
        <w:t xml:space="preserve"> CREDIT</w:t>
      </w:r>
      <w:r w:rsidR="00AD47EC" w:rsidRPr="00F11F76">
        <w:rPr>
          <w:rFonts w:ascii="Times New Roman" w:hAnsi="Times New Roman" w:cs="Times New Roman"/>
          <w:b/>
          <w:color w:val="131111"/>
          <w:sz w:val="28"/>
          <w:szCs w:val="28"/>
          <w:lang w:val="ro-RO"/>
        </w:rPr>
        <w:t>” S.R.L.</w:t>
      </w:r>
    </w:p>
    <w:p w14:paraId="713068E3" w14:textId="77777777" w:rsidR="00AD47EC" w:rsidRPr="00F11F76" w:rsidRDefault="00AD47EC" w:rsidP="00F11F76">
      <w:pPr>
        <w:jc w:val="both"/>
        <w:rPr>
          <w:rStyle w:val="Heading1Char"/>
          <w:rFonts w:cs="Times New Roman"/>
          <w:sz w:val="24"/>
          <w:szCs w:val="24"/>
          <w:lang w:val="ro-RO"/>
        </w:rPr>
      </w:pPr>
      <w:r w:rsidRPr="00F11F76">
        <w:rPr>
          <w:rStyle w:val="Heading1Char"/>
          <w:rFonts w:cs="Times New Roman"/>
          <w:sz w:val="24"/>
          <w:szCs w:val="24"/>
          <w:lang w:val="ro-RO"/>
        </w:rPr>
        <w:br w:type="page"/>
      </w:r>
    </w:p>
    <w:p w14:paraId="6934C446" w14:textId="77777777" w:rsidR="001674CB" w:rsidRPr="00F11F76" w:rsidRDefault="00734594" w:rsidP="00E03082">
      <w:pPr>
        <w:pStyle w:val="ListParagraph"/>
        <w:numPr>
          <w:ilvl w:val="0"/>
          <w:numId w:val="1"/>
        </w:numPr>
        <w:jc w:val="center"/>
        <w:rPr>
          <w:rStyle w:val="Heading1Char"/>
          <w:rFonts w:cs="Times New Roman"/>
          <w:b/>
          <w:sz w:val="24"/>
          <w:szCs w:val="24"/>
          <w:lang w:val="ro-RO"/>
        </w:rPr>
      </w:pPr>
      <w:r w:rsidRPr="00F11F76">
        <w:rPr>
          <w:rStyle w:val="Heading1Char"/>
          <w:rFonts w:cs="Times New Roman"/>
          <w:b/>
          <w:sz w:val="24"/>
          <w:szCs w:val="24"/>
          <w:lang w:val="ro-RO"/>
        </w:rPr>
        <w:lastRenderedPageBreak/>
        <w:t>Dispoziții Generale</w:t>
      </w:r>
    </w:p>
    <w:p w14:paraId="372D0A41" w14:textId="77777777" w:rsidR="001674CB" w:rsidRPr="00F11F76" w:rsidRDefault="0061117A" w:rsidP="00E03082">
      <w:pPr>
        <w:pStyle w:val="ListParagraph"/>
        <w:numPr>
          <w:ilvl w:val="1"/>
          <w:numId w:val="1"/>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Prezentul Regulament privind cadrul de admi</w:t>
      </w:r>
      <w:r w:rsidR="00043AD7" w:rsidRPr="00F11F76">
        <w:rPr>
          <w:rFonts w:ascii="Times New Roman" w:hAnsi="Times New Roman" w:cs="Times New Roman"/>
          <w:sz w:val="24"/>
          <w:szCs w:val="24"/>
          <w:lang w:val="ro-RO"/>
        </w:rPr>
        <w:t>nistrare a activității Organizaț</w:t>
      </w:r>
      <w:r w:rsidRPr="00F11F76">
        <w:rPr>
          <w:rFonts w:ascii="Times New Roman" w:hAnsi="Times New Roman" w:cs="Times New Roman"/>
          <w:sz w:val="24"/>
          <w:szCs w:val="24"/>
          <w:lang w:val="ro-RO"/>
        </w:rPr>
        <w:t xml:space="preserve">iei de Creditare Nebancară </w:t>
      </w:r>
      <w:r w:rsidR="00E56D93" w:rsidRPr="00F11F76">
        <w:rPr>
          <w:rFonts w:ascii="Times New Roman" w:hAnsi="Times New Roman" w:cs="Times New Roman"/>
          <w:sz w:val="24"/>
          <w:szCs w:val="24"/>
          <w:lang w:val="ro-RO"/>
        </w:rPr>
        <w:t>“OVI</w:t>
      </w:r>
      <w:r w:rsidRPr="00F11F76">
        <w:rPr>
          <w:rFonts w:ascii="Times New Roman" w:hAnsi="Times New Roman" w:cs="Times New Roman"/>
          <w:sz w:val="24"/>
          <w:szCs w:val="24"/>
          <w:lang w:val="ro-RO"/>
        </w:rPr>
        <w:t xml:space="preserve"> CREDIT” S.R.L.</w:t>
      </w:r>
      <w:r w:rsidR="001674CB" w:rsidRPr="00F11F76">
        <w:rPr>
          <w:rFonts w:ascii="Times New Roman" w:hAnsi="Times New Roman" w:cs="Times New Roman"/>
          <w:sz w:val="24"/>
          <w:szCs w:val="24"/>
          <w:lang w:val="ro-RO"/>
        </w:rPr>
        <w:t xml:space="preserve"> este elaborat</w:t>
      </w:r>
      <w:r w:rsidR="00047110" w:rsidRPr="00F11F76">
        <w:rPr>
          <w:rFonts w:ascii="Times New Roman" w:hAnsi="Times New Roman" w:cs="Times New Roman"/>
          <w:sz w:val="24"/>
          <w:szCs w:val="24"/>
          <w:lang w:val="ro-RO"/>
        </w:rPr>
        <w:t xml:space="preserve"> si in conformitate cu</w:t>
      </w:r>
      <w:r w:rsidR="001674CB" w:rsidRPr="00F11F76">
        <w:rPr>
          <w:rFonts w:ascii="Times New Roman" w:hAnsi="Times New Roman" w:cs="Times New Roman"/>
          <w:sz w:val="24"/>
          <w:szCs w:val="24"/>
          <w:lang w:val="ro-RO"/>
        </w:rPr>
        <w:t>:</w:t>
      </w:r>
    </w:p>
    <w:p w14:paraId="55EF261F" w14:textId="77777777" w:rsidR="001674CB" w:rsidRPr="00F11F76" w:rsidRDefault="001674CB" w:rsidP="00E03082">
      <w:pPr>
        <w:pStyle w:val="ListParagraph"/>
        <w:numPr>
          <w:ilvl w:val="0"/>
          <w:numId w:val="2"/>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Legea nr.</w:t>
      </w:r>
      <w:r w:rsidR="0061117A" w:rsidRPr="00F11F76">
        <w:rPr>
          <w:rFonts w:ascii="Times New Roman" w:hAnsi="Times New Roman" w:cs="Times New Roman"/>
          <w:sz w:val="24"/>
          <w:szCs w:val="24"/>
          <w:lang w:val="ro-RO"/>
        </w:rPr>
        <w:t>1 din 16.03.2018</w:t>
      </w:r>
      <w:r w:rsidRPr="00F11F76">
        <w:rPr>
          <w:rFonts w:ascii="Times New Roman" w:hAnsi="Times New Roman" w:cs="Times New Roman"/>
          <w:sz w:val="24"/>
          <w:szCs w:val="24"/>
          <w:lang w:val="ro-RO"/>
        </w:rPr>
        <w:t xml:space="preserve"> cu privire la organizațiile de </w:t>
      </w:r>
      <w:r w:rsidR="0061117A" w:rsidRPr="00F11F76">
        <w:rPr>
          <w:rFonts w:ascii="Times New Roman" w:hAnsi="Times New Roman" w:cs="Times New Roman"/>
          <w:sz w:val="24"/>
          <w:szCs w:val="24"/>
          <w:lang w:val="ro-RO"/>
        </w:rPr>
        <w:t>cred</w:t>
      </w:r>
      <w:r w:rsidR="00F11F76">
        <w:rPr>
          <w:rFonts w:ascii="Times New Roman" w:hAnsi="Times New Roman" w:cs="Times New Roman"/>
          <w:sz w:val="24"/>
          <w:szCs w:val="24"/>
          <w:lang w:val="ro-RO"/>
        </w:rPr>
        <w:t>it</w:t>
      </w:r>
      <w:r w:rsidR="0061117A" w:rsidRPr="00F11F76">
        <w:rPr>
          <w:rFonts w:ascii="Times New Roman" w:hAnsi="Times New Roman" w:cs="Times New Roman"/>
          <w:sz w:val="24"/>
          <w:szCs w:val="24"/>
          <w:lang w:val="ro-RO"/>
        </w:rPr>
        <w:t>are nebancară</w:t>
      </w:r>
      <w:r w:rsidRPr="00F11F76">
        <w:rPr>
          <w:rFonts w:ascii="Times New Roman" w:hAnsi="Times New Roman" w:cs="Times New Roman"/>
          <w:sz w:val="24"/>
          <w:szCs w:val="24"/>
          <w:lang w:val="ro-RO"/>
        </w:rPr>
        <w:t xml:space="preserve"> al Republicii Moldova</w:t>
      </w:r>
    </w:p>
    <w:p w14:paraId="52964A2D" w14:textId="77777777" w:rsidR="001674CB" w:rsidRPr="00F11F76" w:rsidRDefault="001674CB" w:rsidP="00E03082">
      <w:pPr>
        <w:pStyle w:val="ListParagraph"/>
        <w:numPr>
          <w:ilvl w:val="0"/>
          <w:numId w:val="2"/>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Legea nr.202 din 12.07.2013 privind contractele de credit pentru consumatori al Republicii Moldova</w:t>
      </w:r>
    </w:p>
    <w:p w14:paraId="6AA89529" w14:textId="77777777" w:rsidR="00205448" w:rsidRPr="00F11F76" w:rsidRDefault="00205448" w:rsidP="00E03082">
      <w:pPr>
        <w:pStyle w:val="ListParagraph"/>
        <w:numPr>
          <w:ilvl w:val="0"/>
          <w:numId w:val="2"/>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Legea privind prevenirea ți combaterea spălării banilor nr. 308 din 22.12.2017</w:t>
      </w:r>
    </w:p>
    <w:p w14:paraId="606F268D" w14:textId="77777777" w:rsidR="00047110" w:rsidRPr="00F11F76" w:rsidRDefault="00F11F76" w:rsidP="00E03082">
      <w:pPr>
        <w:pStyle w:val="ListParagraph"/>
        <w:numPr>
          <w:ilvl w:val="0"/>
          <w:numId w:val="2"/>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Hotărârea</w:t>
      </w:r>
      <w:r w:rsidR="00047110" w:rsidRPr="00F11F76">
        <w:rPr>
          <w:rFonts w:ascii="Times New Roman" w:hAnsi="Times New Roman" w:cs="Times New Roman"/>
          <w:sz w:val="24"/>
          <w:szCs w:val="24"/>
          <w:lang w:val="ro-RO"/>
        </w:rPr>
        <w:t xml:space="preserve"> CNPF Nr. 8/6 din 26.02.2010 cu privire la aprobarea Regulamentului cu privire la dezvăluirea de către participanții profesioniști la piața financiară nebancară a informației privind acordarea serviciilor</w:t>
      </w:r>
    </w:p>
    <w:p w14:paraId="2326D534" w14:textId="77777777" w:rsidR="0061117A" w:rsidRPr="00F11F76" w:rsidRDefault="00F11F76" w:rsidP="00E03082">
      <w:pPr>
        <w:pStyle w:val="ListParagraph"/>
        <w:numPr>
          <w:ilvl w:val="0"/>
          <w:numId w:val="2"/>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Hotărârea</w:t>
      </w:r>
      <w:r w:rsidR="0061117A" w:rsidRPr="00F11F76">
        <w:rPr>
          <w:rFonts w:ascii="Times New Roman" w:hAnsi="Times New Roman" w:cs="Times New Roman"/>
          <w:sz w:val="24"/>
          <w:szCs w:val="24"/>
          <w:lang w:val="ro-RO"/>
        </w:rPr>
        <w:t xml:space="preserve"> </w:t>
      </w:r>
      <w:r w:rsidR="00047110" w:rsidRPr="00F11F76">
        <w:rPr>
          <w:rFonts w:ascii="Times New Roman" w:hAnsi="Times New Roman" w:cs="Times New Roman"/>
          <w:sz w:val="24"/>
          <w:szCs w:val="24"/>
          <w:lang w:val="ro-RO"/>
        </w:rPr>
        <w:t xml:space="preserve">CNPF </w:t>
      </w:r>
      <w:r w:rsidR="0061117A" w:rsidRPr="00F11F76">
        <w:rPr>
          <w:rFonts w:ascii="Times New Roman" w:hAnsi="Times New Roman" w:cs="Times New Roman"/>
          <w:sz w:val="24"/>
          <w:szCs w:val="24"/>
          <w:lang w:val="ro-RO"/>
        </w:rPr>
        <w:t xml:space="preserve">Nr. 11/1 din 14.03.2012 cu privire la aprobarea Regulamentului cu privire la clasificarea împrumuturilor acordate și </w:t>
      </w:r>
      <w:r w:rsidRPr="00F11F76">
        <w:rPr>
          <w:rFonts w:ascii="Times New Roman" w:hAnsi="Times New Roman" w:cs="Times New Roman"/>
          <w:sz w:val="24"/>
          <w:szCs w:val="24"/>
          <w:lang w:val="ro-RO"/>
        </w:rPr>
        <w:t>dobânzilor</w:t>
      </w:r>
      <w:r w:rsidR="0061117A" w:rsidRPr="00F11F76">
        <w:rPr>
          <w:rFonts w:ascii="Times New Roman" w:hAnsi="Times New Roman" w:cs="Times New Roman"/>
          <w:sz w:val="24"/>
          <w:szCs w:val="24"/>
          <w:lang w:val="ro-RO"/>
        </w:rPr>
        <w:t xml:space="preserve"> calculate</w:t>
      </w:r>
    </w:p>
    <w:p w14:paraId="23CDE789" w14:textId="77777777" w:rsidR="001674CB" w:rsidRPr="00F11F76" w:rsidRDefault="001674CB" w:rsidP="00E03082">
      <w:pPr>
        <w:pStyle w:val="ListParagraph"/>
        <w:numPr>
          <w:ilvl w:val="0"/>
          <w:numId w:val="2"/>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altor ac</w:t>
      </w:r>
      <w:r w:rsidR="00F11F76">
        <w:rPr>
          <w:rFonts w:ascii="Times New Roman" w:hAnsi="Times New Roman" w:cs="Times New Roman"/>
          <w:sz w:val="24"/>
          <w:szCs w:val="24"/>
          <w:lang w:val="ro-RO"/>
        </w:rPr>
        <w:t>t</w:t>
      </w:r>
      <w:r w:rsidRPr="00F11F76">
        <w:rPr>
          <w:rFonts w:ascii="Times New Roman" w:hAnsi="Times New Roman" w:cs="Times New Roman"/>
          <w:sz w:val="24"/>
          <w:szCs w:val="24"/>
          <w:lang w:val="ro-RO"/>
        </w:rPr>
        <w:t>e normative  in  vigoare  ale  Republicii  Moldova,  inclusiv  actele normative ale CNPF;</w:t>
      </w:r>
    </w:p>
    <w:p w14:paraId="2D383CBA" w14:textId="77777777" w:rsidR="001674CB" w:rsidRPr="00F11F76" w:rsidRDefault="001674CB" w:rsidP="00E03082">
      <w:pPr>
        <w:pStyle w:val="ListParagraph"/>
        <w:numPr>
          <w:ilvl w:val="0"/>
          <w:numId w:val="2"/>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Statutul O.</w:t>
      </w:r>
      <w:r w:rsidR="0061117A" w:rsidRPr="00F11F76">
        <w:rPr>
          <w:rFonts w:ascii="Times New Roman" w:hAnsi="Times New Roman" w:cs="Times New Roman"/>
          <w:sz w:val="24"/>
          <w:szCs w:val="24"/>
          <w:lang w:val="ro-RO"/>
        </w:rPr>
        <w:t>C.N</w:t>
      </w:r>
      <w:r w:rsidR="00F11F76" w:rsidRPr="00F11F76">
        <w:rPr>
          <w:rFonts w:ascii="Times New Roman" w:hAnsi="Times New Roman" w:cs="Times New Roman"/>
          <w:sz w:val="24"/>
          <w:szCs w:val="24"/>
          <w:lang w:val="ro-RO"/>
        </w:rPr>
        <w:t>. “</w:t>
      </w:r>
      <w:proofErr w:type="spellStart"/>
      <w:r w:rsidR="00F11F76" w:rsidRPr="00F11F76">
        <w:rPr>
          <w:rFonts w:ascii="Times New Roman" w:hAnsi="Times New Roman" w:cs="Times New Roman"/>
          <w:sz w:val="24"/>
          <w:szCs w:val="24"/>
          <w:lang w:val="ro-RO"/>
        </w:rPr>
        <w:t>Ovi</w:t>
      </w:r>
      <w:proofErr w:type="spellEnd"/>
      <w:r w:rsidRPr="00F11F76">
        <w:rPr>
          <w:rFonts w:ascii="Times New Roman" w:hAnsi="Times New Roman" w:cs="Times New Roman"/>
          <w:sz w:val="24"/>
          <w:szCs w:val="24"/>
          <w:lang w:val="ro-RO"/>
        </w:rPr>
        <w:t xml:space="preserve"> Credit” S.R.L.</w:t>
      </w:r>
    </w:p>
    <w:p w14:paraId="617E69C2" w14:textId="77777777" w:rsidR="001674CB" w:rsidRPr="00F11F76" w:rsidRDefault="001674CB" w:rsidP="00E03082">
      <w:pPr>
        <w:pStyle w:val="ListParagraph"/>
        <w:numPr>
          <w:ilvl w:val="0"/>
          <w:numId w:val="2"/>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 xml:space="preserve">Altor regulamente interne </w:t>
      </w:r>
      <w:r w:rsidR="00047110" w:rsidRPr="00F11F76">
        <w:rPr>
          <w:rFonts w:ascii="Times New Roman" w:hAnsi="Times New Roman" w:cs="Times New Roman"/>
          <w:sz w:val="24"/>
          <w:szCs w:val="24"/>
          <w:lang w:val="ro-RO"/>
        </w:rPr>
        <w:t>ale O.C</w:t>
      </w:r>
      <w:r w:rsidRPr="00F11F76">
        <w:rPr>
          <w:rFonts w:ascii="Times New Roman" w:hAnsi="Times New Roman" w:cs="Times New Roman"/>
          <w:sz w:val="24"/>
          <w:szCs w:val="24"/>
          <w:lang w:val="ro-RO"/>
        </w:rPr>
        <w:t>.</w:t>
      </w:r>
      <w:r w:rsidR="00047110" w:rsidRPr="00F11F76">
        <w:rPr>
          <w:rFonts w:ascii="Times New Roman" w:hAnsi="Times New Roman" w:cs="Times New Roman"/>
          <w:sz w:val="24"/>
          <w:szCs w:val="24"/>
          <w:lang w:val="ro-RO"/>
        </w:rPr>
        <w:t>N.</w:t>
      </w:r>
      <w:r w:rsidR="00F11F76" w:rsidRPr="00F11F76">
        <w:rPr>
          <w:rFonts w:ascii="Times New Roman" w:hAnsi="Times New Roman" w:cs="Times New Roman"/>
          <w:sz w:val="24"/>
          <w:szCs w:val="24"/>
          <w:lang w:val="ro-RO"/>
        </w:rPr>
        <w:t xml:space="preserve"> “</w:t>
      </w:r>
      <w:proofErr w:type="spellStart"/>
      <w:r w:rsidR="00F11F76" w:rsidRPr="00F11F76">
        <w:rPr>
          <w:rFonts w:ascii="Times New Roman" w:hAnsi="Times New Roman" w:cs="Times New Roman"/>
          <w:sz w:val="24"/>
          <w:szCs w:val="24"/>
          <w:lang w:val="ro-RO"/>
        </w:rPr>
        <w:t>Ovi</w:t>
      </w:r>
      <w:proofErr w:type="spellEnd"/>
      <w:r w:rsidRPr="00F11F76">
        <w:rPr>
          <w:rFonts w:ascii="Times New Roman" w:hAnsi="Times New Roman" w:cs="Times New Roman"/>
          <w:sz w:val="24"/>
          <w:szCs w:val="24"/>
          <w:lang w:val="ro-RO"/>
        </w:rPr>
        <w:t xml:space="preserve"> Credit” S.R.L.</w:t>
      </w:r>
    </w:p>
    <w:p w14:paraId="6D822FA8" w14:textId="0EA8D2C5" w:rsidR="001674CB" w:rsidRPr="00B062F5" w:rsidRDefault="003D5BD2" w:rsidP="00E03082">
      <w:pPr>
        <w:pStyle w:val="ListParagraph"/>
        <w:numPr>
          <w:ilvl w:val="1"/>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47110" w:rsidRPr="00F11F76">
        <w:rPr>
          <w:rFonts w:ascii="Times New Roman" w:hAnsi="Times New Roman" w:cs="Times New Roman"/>
          <w:sz w:val="24"/>
          <w:szCs w:val="24"/>
          <w:lang w:val="ro-RO"/>
        </w:rPr>
        <w:t>Prezentul regulament</w:t>
      </w:r>
      <w:r w:rsidR="001674CB" w:rsidRPr="00F11F76">
        <w:rPr>
          <w:rFonts w:ascii="Times New Roman" w:hAnsi="Times New Roman" w:cs="Times New Roman"/>
          <w:sz w:val="24"/>
          <w:szCs w:val="24"/>
          <w:lang w:val="ro-RO"/>
        </w:rPr>
        <w:t xml:space="preserve"> </w:t>
      </w:r>
      <w:r w:rsidR="00C515A2">
        <w:rPr>
          <w:rFonts w:ascii="Times New Roman" w:hAnsi="Times New Roman" w:cs="Times New Roman"/>
          <w:sz w:val="24"/>
          <w:szCs w:val="24"/>
          <w:lang w:val="ro-RO"/>
        </w:rPr>
        <w:t>conține prevederi care se referă cel puțin la aspecte ce țin de atribuțiile și responsabilitățile administratorului, inclusiv de elaborare și aprobare a politicilor, precum și la administrarea riscurilor și continuitatea activității</w:t>
      </w:r>
      <w:r w:rsidR="00047110" w:rsidRPr="00F11F76">
        <w:rPr>
          <w:rFonts w:ascii="Times New Roman" w:hAnsi="Times New Roman" w:cs="Times New Roman"/>
          <w:sz w:val="24"/>
          <w:szCs w:val="24"/>
          <w:lang w:val="ro-RO"/>
        </w:rPr>
        <w:t xml:space="preserve"> al  O.C</w:t>
      </w:r>
      <w:r w:rsidR="001674CB" w:rsidRPr="00F11F76">
        <w:rPr>
          <w:rFonts w:ascii="Times New Roman" w:hAnsi="Times New Roman" w:cs="Times New Roman"/>
          <w:sz w:val="24"/>
          <w:szCs w:val="24"/>
          <w:lang w:val="ro-RO"/>
        </w:rPr>
        <w:t>.</w:t>
      </w:r>
      <w:r w:rsidR="00047110" w:rsidRPr="00F11F76">
        <w:rPr>
          <w:rFonts w:ascii="Times New Roman" w:hAnsi="Times New Roman" w:cs="Times New Roman"/>
          <w:sz w:val="24"/>
          <w:szCs w:val="24"/>
          <w:lang w:val="ro-RO"/>
        </w:rPr>
        <w:t xml:space="preserve">N. </w:t>
      </w:r>
      <w:r w:rsidR="00F11F76" w:rsidRPr="00F11F76">
        <w:rPr>
          <w:rFonts w:ascii="Times New Roman" w:hAnsi="Times New Roman" w:cs="Times New Roman"/>
          <w:sz w:val="24"/>
          <w:szCs w:val="24"/>
          <w:lang w:val="ro-RO"/>
        </w:rPr>
        <w:t>“</w:t>
      </w:r>
      <w:proofErr w:type="spellStart"/>
      <w:r w:rsidR="00F11F76" w:rsidRPr="00F11F76">
        <w:rPr>
          <w:rFonts w:ascii="Times New Roman" w:hAnsi="Times New Roman" w:cs="Times New Roman"/>
          <w:sz w:val="24"/>
          <w:szCs w:val="24"/>
          <w:lang w:val="ro-RO"/>
        </w:rPr>
        <w:t>Ovi</w:t>
      </w:r>
      <w:proofErr w:type="spellEnd"/>
      <w:r w:rsidR="001674CB" w:rsidRPr="00F11F76">
        <w:rPr>
          <w:rFonts w:ascii="Times New Roman" w:hAnsi="Times New Roman" w:cs="Times New Roman"/>
          <w:sz w:val="24"/>
          <w:szCs w:val="24"/>
          <w:lang w:val="ro-RO"/>
        </w:rPr>
        <w:t xml:space="preserve"> Credit</w:t>
      </w:r>
      <w:r w:rsidR="00F11F76" w:rsidRPr="00F11F76">
        <w:rPr>
          <w:rFonts w:ascii="Times New Roman" w:hAnsi="Times New Roman" w:cs="Times New Roman"/>
          <w:sz w:val="24"/>
          <w:szCs w:val="24"/>
          <w:lang w:val="ro-RO"/>
        </w:rPr>
        <w:t>”</w:t>
      </w:r>
      <w:r w:rsidR="001674CB" w:rsidRPr="00F11F76">
        <w:rPr>
          <w:rFonts w:ascii="Times New Roman" w:hAnsi="Times New Roman" w:cs="Times New Roman"/>
          <w:sz w:val="24"/>
          <w:szCs w:val="24"/>
          <w:lang w:val="ro-RO"/>
        </w:rPr>
        <w:t xml:space="preserve"> S.R.L. (in continuare Organizație). </w:t>
      </w:r>
    </w:p>
    <w:p w14:paraId="366B43D5" w14:textId="77777777" w:rsidR="001674CB" w:rsidRPr="00F11F76" w:rsidRDefault="001674CB" w:rsidP="00E03082">
      <w:pPr>
        <w:pStyle w:val="ListParagraph"/>
        <w:numPr>
          <w:ilvl w:val="1"/>
          <w:numId w:val="1"/>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 xml:space="preserve"> </w:t>
      </w:r>
      <w:r w:rsidR="00047110" w:rsidRPr="00F11F76">
        <w:rPr>
          <w:rFonts w:ascii="Times New Roman" w:hAnsi="Times New Roman" w:cs="Times New Roman"/>
          <w:sz w:val="24"/>
          <w:szCs w:val="24"/>
          <w:lang w:val="ro-RO"/>
        </w:rPr>
        <w:t xml:space="preserve">Prezentul regulament </w:t>
      </w:r>
      <w:r w:rsidRPr="00F11F76">
        <w:rPr>
          <w:rFonts w:ascii="Times New Roman" w:hAnsi="Times New Roman" w:cs="Times New Roman"/>
          <w:sz w:val="24"/>
          <w:szCs w:val="24"/>
          <w:lang w:val="ro-RO"/>
        </w:rPr>
        <w:t xml:space="preserve">se bazează pe o evaluare riguroasă a diverselor situații și o analiză a </w:t>
      </w:r>
      <w:r w:rsidR="00F11F76" w:rsidRPr="00F11F76">
        <w:rPr>
          <w:rFonts w:ascii="Times New Roman" w:hAnsi="Times New Roman" w:cs="Times New Roman"/>
          <w:sz w:val="24"/>
          <w:szCs w:val="24"/>
          <w:lang w:val="ro-RO"/>
        </w:rPr>
        <w:t>multiplelor</w:t>
      </w:r>
      <w:r w:rsidRPr="00F11F76">
        <w:rPr>
          <w:rFonts w:ascii="Times New Roman" w:hAnsi="Times New Roman" w:cs="Times New Roman"/>
          <w:sz w:val="24"/>
          <w:szCs w:val="24"/>
          <w:lang w:val="ro-RO"/>
        </w:rPr>
        <w:t xml:space="preserve"> factori, care determină riscurile aferente creditării. Dar problema primordială este de a minimiza aceste riscuri.</w:t>
      </w:r>
    </w:p>
    <w:p w14:paraId="4C160956" w14:textId="77777777" w:rsidR="001674CB" w:rsidRPr="00F11F76" w:rsidRDefault="001674CB" w:rsidP="00E03082">
      <w:pPr>
        <w:pStyle w:val="ListParagraph"/>
        <w:numPr>
          <w:ilvl w:val="1"/>
          <w:numId w:val="1"/>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 xml:space="preserve">Cunoașterea etapelor managementului creditării facilitează perceperea originii și momentului apariției riscurilor posibile și înlesnește cu certitudine </w:t>
      </w:r>
      <w:r w:rsidR="00F11F76" w:rsidRPr="00F11F76">
        <w:rPr>
          <w:rFonts w:ascii="Times New Roman" w:hAnsi="Times New Roman" w:cs="Times New Roman"/>
          <w:sz w:val="24"/>
          <w:szCs w:val="24"/>
          <w:lang w:val="ro-RO"/>
        </w:rPr>
        <w:t>preîntâmpinarea</w:t>
      </w:r>
      <w:r w:rsidRPr="00F11F76">
        <w:rPr>
          <w:rFonts w:ascii="Times New Roman" w:hAnsi="Times New Roman" w:cs="Times New Roman"/>
          <w:sz w:val="24"/>
          <w:szCs w:val="24"/>
          <w:lang w:val="ro-RO"/>
        </w:rPr>
        <w:t>, ocolirea și depășirea riscurilor care succed din activitatea de creditare a Organizației.</w:t>
      </w:r>
    </w:p>
    <w:p w14:paraId="3A6E8F30" w14:textId="77777777" w:rsidR="001674CB" w:rsidRPr="00F11F76" w:rsidRDefault="001674CB" w:rsidP="00E03082">
      <w:pPr>
        <w:pStyle w:val="Heading1"/>
        <w:numPr>
          <w:ilvl w:val="0"/>
          <w:numId w:val="1"/>
        </w:numPr>
        <w:rPr>
          <w:rFonts w:cs="Times New Roman"/>
          <w:b/>
          <w:sz w:val="24"/>
          <w:szCs w:val="24"/>
          <w:lang w:val="ro-RO"/>
        </w:rPr>
      </w:pPr>
      <w:r w:rsidRPr="00F11F76">
        <w:rPr>
          <w:rFonts w:cs="Times New Roman"/>
          <w:b/>
          <w:sz w:val="24"/>
          <w:szCs w:val="24"/>
          <w:lang w:val="ro-RO"/>
        </w:rPr>
        <w:t>Ob</w:t>
      </w:r>
      <w:r w:rsidR="005471E3" w:rsidRPr="00F11F76">
        <w:rPr>
          <w:rFonts w:cs="Times New Roman"/>
          <w:b/>
          <w:sz w:val="24"/>
          <w:szCs w:val="24"/>
          <w:lang w:val="ro-RO"/>
        </w:rPr>
        <w:t>iectivele Regulamentului</w:t>
      </w:r>
    </w:p>
    <w:p w14:paraId="2720EA26" w14:textId="0BC26845" w:rsidR="001674CB" w:rsidRPr="00F11F76" w:rsidRDefault="00B062F5" w:rsidP="00E03082">
      <w:pPr>
        <w:pStyle w:val="ListParagraph"/>
        <w:numPr>
          <w:ilvl w:val="1"/>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Obiectivul Regulamentului este c</w:t>
      </w:r>
      <w:r w:rsidR="001674CB" w:rsidRPr="00F11F76">
        <w:rPr>
          <w:rFonts w:ascii="Times New Roman" w:hAnsi="Times New Roman" w:cs="Times New Roman"/>
          <w:sz w:val="24"/>
          <w:szCs w:val="24"/>
          <w:lang w:val="ro-RO"/>
        </w:rPr>
        <w:t xml:space="preserve">oncentrarea eforturilor și resurselor asupra </w:t>
      </w:r>
      <w:r w:rsidR="00620ED4">
        <w:rPr>
          <w:rFonts w:ascii="Times New Roman" w:hAnsi="Times New Roman" w:cs="Times New Roman"/>
          <w:sz w:val="24"/>
          <w:szCs w:val="24"/>
          <w:lang w:val="ro-RO"/>
        </w:rPr>
        <w:t>administrării eficiente al Organizației</w:t>
      </w:r>
      <w:r>
        <w:rPr>
          <w:rFonts w:ascii="Times New Roman" w:hAnsi="Times New Roman" w:cs="Times New Roman"/>
          <w:sz w:val="24"/>
          <w:szCs w:val="24"/>
          <w:lang w:val="ro-RO"/>
        </w:rPr>
        <w:t>. Elaborarea și implementarea</w:t>
      </w:r>
      <w:r w:rsidR="001674CB" w:rsidRPr="00F11F76">
        <w:rPr>
          <w:rFonts w:ascii="Times New Roman" w:hAnsi="Times New Roman" w:cs="Times New Roman"/>
          <w:sz w:val="24"/>
          <w:szCs w:val="24"/>
          <w:lang w:val="ro-RO"/>
        </w:rPr>
        <w:t xml:space="preserve"> </w:t>
      </w:r>
      <w:r>
        <w:rPr>
          <w:rFonts w:ascii="Times New Roman" w:hAnsi="Times New Roman" w:cs="Times New Roman"/>
          <w:sz w:val="24"/>
          <w:szCs w:val="24"/>
          <w:lang w:val="ro-RO"/>
        </w:rPr>
        <w:t>strategiei de dezvoltare de lunga durată, precum și administrarea riscurilor aferente activității.</w:t>
      </w:r>
    </w:p>
    <w:p w14:paraId="21903A2E" w14:textId="4A381341" w:rsidR="00B062F5" w:rsidRPr="00BA1984" w:rsidRDefault="00B062F5" w:rsidP="00E03082">
      <w:pPr>
        <w:pStyle w:val="Heading1"/>
        <w:numPr>
          <w:ilvl w:val="0"/>
          <w:numId w:val="1"/>
        </w:numPr>
        <w:rPr>
          <w:rFonts w:cs="Times New Roman"/>
          <w:b/>
          <w:sz w:val="24"/>
          <w:szCs w:val="24"/>
          <w:lang w:val="ro-RO"/>
        </w:rPr>
      </w:pPr>
      <w:r>
        <w:rPr>
          <w:rFonts w:cs="Times New Roman"/>
          <w:b/>
          <w:sz w:val="24"/>
          <w:szCs w:val="24"/>
          <w:lang w:val="ro-RO"/>
        </w:rPr>
        <w:t>Atribuțiile și responsabilitățile Administratorului</w:t>
      </w:r>
    </w:p>
    <w:p w14:paraId="080E59B6" w14:textId="29945FD4" w:rsidR="00B062F5" w:rsidRDefault="00B062F5" w:rsidP="00B062F5">
      <w:pPr>
        <w:pStyle w:val="ListParagraph"/>
        <w:jc w:val="both"/>
        <w:rPr>
          <w:rFonts w:ascii="Times New Roman" w:hAnsi="Times New Roman" w:cs="Times New Roman"/>
          <w:sz w:val="24"/>
          <w:szCs w:val="24"/>
          <w:lang w:val="ro-RO"/>
        </w:rPr>
      </w:pPr>
    </w:p>
    <w:p w14:paraId="27F79D12" w14:textId="3A985379" w:rsidR="00B062F5" w:rsidRPr="00555A08" w:rsidRDefault="00B062F5" w:rsidP="00E03082">
      <w:pPr>
        <w:pStyle w:val="ListParagraph"/>
        <w:numPr>
          <w:ilvl w:val="1"/>
          <w:numId w:val="1"/>
        </w:numPr>
        <w:jc w:val="both"/>
        <w:rPr>
          <w:rFonts w:ascii="Times New Roman" w:hAnsi="Times New Roman" w:cs="Times New Roman"/>
          <w:sz w:val="24"/>
          <w:szCs w:val="24"/>
          <w:lang w:val="ro-RO"/>
        </w:rPr>
      </w:pPr>
      <w:r w:rsidRPr="00555A08">
        <w:rPr>
          <w:rFonts w:ascii="Times New Roman" w:hAnsi="Times New Roman" w:cs="Times New Roman"/>
          <w:sz w:val="24"/>
          <w:szCs w:val="24"/>
          <w:lang w:val="ro-RO"/>
        </w:rPr>
        <w:t xml:space="preserve">Activitatea curentă a </w:t>
      </w:r>
      <w:r w:rsidR="00555A08">
        <w:rPr>
          <w:rFonts w:ascii="Times New Roman" w:hAnsi="Times New Roman" w:cs="Times New Roman"/>
          <w:sz w:val="24"/>
          <w:szCs w:val="24"/>
          <w:lang w:val="ro-RO"/>
        </w:rPr>
        <w:t>Organizației</w:t>
      </w:r>
      <w:r w:rsidRPr="00555A08">
        <w:rPr>
          <w:rFonts w:ascii="Times New Roman" w:hAnsi="Times New Roman" w:cs="Times New Roman"/>
          <w:sz w:val="24"/>
          <w:szCs w:val="24"/>
          <w:lang w:val="ro-RO"/>
        </w:rPr>
        <w:t xml:space="preserve"> este condusă de Administrator.</w:t>
      </w:r>
    </w:p>
    <w:p w14:paraId="11891FAA" w14:textId="77777777" w:rsidR="00B062F5" w:rsidRPr="00555A08" w:rsidRDefault="00B062F5" w:rsidP="00E03082">
      <w:pPr>
        <w:pStyle w:val="ListParagraph"/>
        <w:numPr>
          <w:ilvl w:val="1"/>
          <w:numId w:val="1"/>
        </w:numPr>
        <w:jc w:val="both"/>
        <w:rPr>
          <w:rFonts w:ascii="Times New Roman" w:hAnsi="Times New Roman" w:cs="Times New Roman"/>
          <w:sz w:val="24"/>
          <w:szCs w:val="24"/>
          <w:lang w:val="ro-RO"/>
        </w:rPr>
      </w:pPr>
      <w:r w:rsidRPr="00555A08">
        <w:rPr>
          <w:rFonts w:ascii="Times New Roman" w:hAnsi="Times New Roman" w:cs="Times New Roman"/>
          <w:sz w:val="24"/>
          <w:szCs w:val="24"/>
          <w:lang w:val="ro-RO"/>
        </w:rPr>
        <w:t>Administratorul este în drept:</w:t>
      </w:r>
    </w:p>
    <w:p w14:paraId="54907434" w14:textId="41FE9597" w:rsidR="00B062F5" w:rsidRPr="00143729" w:rsidRDefault="00B062F5" w:rsidP="00E03082">
      <w:pPr>
        <w:pStyle w:val="ListParagraph"/>
        <w:numPr>
          <w:ilvl w:val="0"/>
          <w:numId w:val="15"/>
        </w:numPr>
        <w:jc w:val="both"/>
        <w:rPr>
          <w:rFonts w:ascii="Times New Roman" w:hAnsi="Times New Roman" w:cs="Times New Roman"/>
          <w:sz w:val="24"/>
          <w:szCs w:val="24"/>
          <w:lang w:val="ro-RO"/>
        </w:rPr>
      </w:pPr>
      <w:r w:rsidRPr="00143729">
        <w:rPr>
          <w:rFonts w:ascii="Times New Roman" w:hAnsi="Times New Roman" w:cs="Times New Roman"/>
          <w:sz w:val="24"/>
          <w:szCs w:val="24"/>
          <w:lang w:val="ro-RO"/>
        </w:rPr>
        <w:t xml:space="preserve">să efectueze actele de gestiune a </w:t>
      </w:r>
      <w:r w:rsidR="00143729">
        <w:rPr>
          <w:rFonts w:ascii="Times New Roman" w:hAnsi="Times New Roman" w:cs="Times New Roman"/>
          <w:sz w:val="24"/>
          <w:szCs w:val="24"/>
          <w:lang w:val="ro-RO"/>
        </w:rPr>
        <w:t>Organizației</w:t>
      </w:r>
      <w:r w:rsidRPr="00143729">
        <w:rPr>
          <w:rFonts w:ascii="Times New Roman" w:hAnsi="Times New Roman" w:cs="Times New Roman"/>
          <w:sz w:val="24"/>
          <w:szCs w:val="24"/>
          <w:lang w:val="ro-RO"/>
        </w:rPr>
        <w:t xml:space="preserve">, necesare atingerii scopurilor prevăzute în prezentul </w:t>
      </w:r>
      <w:r w:rsidR="00143729">
        <w:rPr>
          <w:rFonts w:ascii="Times New Roman" w:hAnsi="Times New Roman" w:cs="Times New Roman"/>
          <w:sz w:val="24"/>
          <w:szCs w:val="24"/>
          <w:lang w:val="ro-RO"/>
        </w:rPr>
        <w:t>Regulament</w:t>
      </w:r>
      <w:r w:rsidRPr="00143729">
        <w:rPr>
          <w:rFonts w:ascii="Times New Roman" w:hAnsi="Times New Roman" w:cs="Times New Roman"/>
          <w:sz w:val="24"/>
          <w:szCs w:val="24"/>
          <w:lang w:val="ro-RO"/>
        </w:rPr>
        <w:t xml:space="preserve"> </w:t>
      </w:r>
      <w:proofErr w:type="spellStart"/>
      <w:r w:rsidRPr="00143729">
        <w:rPr>
          <w:rFonts w:ascii="Times New Roman" w:hAnsi="Times New Roman" w:cs="Times New Roman"/>
          <w:sz w:val="24"/>
          <w:szCs w:val="24"/>
          <w:lang w:val="ro-RO"/>
        </w:rPr>
        <w:t>şi</w:t>
      </w:r>
      <w:proofErr w:type="spellEnd"/>
      <w:r w:rsidR="00143729">
        <w:rPr>
          <w:rFonts w:ascii="Times New Roman" w:hAnsi="Times New Roman" w:cs="Times New Roman"/>
          <w:sz w:val="24"/>
          <w:szCs w:val="24"/>
          <w:lang w:val="ro-RO"/>
        </w:rPr>
        <w:t xml:space="preserve"> hotărârile </w:t>
      </w:r>
      <w:r w:rsidRPr="00143729">
        <w:rPr>
          <w:rFonts w:ascii="Times New Roman" w:hAnsi="Times New Roman" w:cs="Times New Roman"/>
          <w:sz w:val="24"/>
          <w:szCs w:val="24"/>
          <w:lang w:val="ro-RO"/>
        </w:rPr>
        <w:t xml:space="preserve"> </w:t>
      </w:r>
      <w:r w:rsidR="00143729">
        <w:rPr>
          <w:rFonts w:ascii="Times New Roman" w:hAnsi="Times New Roman" w:cs="Times New Roman"/>
          <w:sz w:val="24"/>
          <w:szCs w:val="24"/>
          <w:lang w:val="ro-RO"/>
        </w:rPr>
        <w:t>deciziilor asociatului unic</w:t>
      </w:r>
      <w:r w:rsidRPr="00143729">
        <w:rPr>
          <w:rFonts w:ascii="Times New Roman" w:hAnsi="Times New Roman" w:cs="Times New Roman"/>
          <w:sz w:val="24"/>
          <w:szCs w:val="24"/>
          <w:lang w:val="ro-RO"/>
        </w:rPr>
        <w:t>;</w:t>
      </w:r>
    </w:p>
    <w:p w14:paraId="44C6D89D" w14:textId="5E50101A" w:rsidR="00B062F5" w:rsidRPr="00143729" w:rsidRDefault="00B062F5" w:rsidP="00E03082">
      <w:pPr>
        <w:pStyle w:val="ListParagraph"/>
        <w:numPr>
          <w:ilvl w:val="0"/>
          <w:numId w:val="15"/>
        </w:numPr>
        <w:jc w:val="both"/>
        <w:rPr>
          <w:rFonts w:ascii="Times New Roman" w:hAnsi="Times New Roman" w:cs="Times New Roman"/>
          <w:sz w:val="24"/>
          <w:szCs w:val="24"/>
          <w:lang w:val="ro-RO"/>
        </w:rPr>
      </w:pPr>
      <w:r w:rsidRPr="00143729">
        <w:rPr>
          <w:rFonts w:ascii="Times New Roman" w:hAnsi="Times New Roman" w:cs="Times New Roman"/>
          <w:sz w:val="24"/>
          <w:szCs w:val="24"/>
          <w:lang w:val="ro-RO"/>
        </w:rPr>
        <w:t xml:space="preserve">să reprezinte fără procură </w:t>
      </w:r>
      <w:r w:rsidR="00143729" w:rsidRPr="00143729">
        <w:rPr>
          <w:rFonts w:ascii="Times New Roman" w:hAnsi="Times New Roman" w:cs="Times New Roman"/>
          <w:sz w:val="24"/>
          <w:szCs w:val="24"/>
          <w:lang w:val="ro-RO"/>
        </w:rPr>
        <w:t>Organizația</w:t>
      </w:r>
      <w:r w:rsidRPr="00143729">
        <w:rPr>
          <w:rFonts w:ascii="Times New Roman" w:hAnsi="Times New Roman" w:cs="Times New Roman"/>
          <w:sz w:val="24"/>
          <w:szCs w:val="24"/>
          <w:lang w:val="ro-RO"/>
        </w:rPr>
        <w:t xml:space="preserve"> în raporturile cu organele statului, cu </w:t>
      </w:r>
      <w:proofErr w:type="spellStart"/>
      <w:r w:rsidRPr="00143729">
        <w:rPr>
          <w:rFonts w:ascii="Times New Roman" w:hAnsi="Times New Roman" w:cs="Times New Roman"/>
          <w:sz w:val="24"/>
          <w:szCs w:val="24"/>
          <w:lang w:val="ro-RO"/>
        </w:rPr>
        <w:t>terţii</w:t>
      </w:r>
      <w:proofErr w:type="spellEnd"/>
      <w:r w:rsidRPr="00143729">
        <w:rPr>
          <w:rFonts w:ascii="Times New Roman" w:hAnsi="Times New Roman" w:cs="Times New Roman"/>
          <w:sz w:val="24"/>
          <w:szCs w:val="24"/>
          <w:lang w:val="ro-RO"/>
        </w:rPr>
        <w:t xml:space="preserve"> </w:t>
      </w:r>
      <w:proofErr w:type="spellStart"/>
      <w:r w:rsidRPr="00143729">
        <w:rPr>
          <w:rFonts w:ascii="Times New Roman" w:hAnsi="Times New Roman" w:cs="Times New Roman"/>
          <w:sz w:val="24"/>
          <w:szCs w:val="24"/>
          <w:lang w:val="ro-RO"/>
        </w:rPr>
        <w:t>şi</w:t>
      </w:r>
      <w:proofErr w:type="spellEnd"/>
      <w:r w:rsidRPr="00143729">
        <w:rPr>
          <w:rFonts w:ascii="Times New Roman" w:hAnsi="Times New Roman" w:cs="Times New Roman"/>
          <w:sz w:val="24"/>
          <w:szCs w:val="24"/>
          <w:lang w:val="ro-RO"/>
        </w:rPr>
        <w:t xml:space="preserve"> în instanțele de judecată;</w:t>
      </w:r>
    </w:p>
    <w:p w14:paraId="1B70E431" w14:textId="0661F4BC" w:rsidR="00B062F5" w:rsidRPr="00143729" w:rsidRDefault="00B062F5" w:rsidP="00E03082">
      <w:pPr>
        <w:pStyle w:val="ListParagraph"/>
        <w:numPr>
          <w:ilvl w:val="0"/>
          <w:numId w:val="15"/>
        </w:numPr>
        <w:jc w:val="both"/>
        <w:rPr>
          <w:rFonts w:ascii="Times New Roman" w:hAnsi="Times New Roman" w:cs="Times New Roman"/>
          <w:sz w:val="24"/>
          <w:szCs w:val="24"/>
          <w:lang w:val="ro-RO"/>
        </w:rPr>
      </w:pPr>
      <w:r w:rsidRPr="00143729">
        <w:rPr>
          <w:rFonts w:ascii="Times New Roman" w:hAnsi="Times New Roman" w:cs="Times New Roman"/>
          <w:sz w:val="24"/>
          <w:szCs w:val="24"/>
          <w:lang w:val="ro-RO"/>
        </w:rPr>
        <w:t>să elibereze altor persoane mandat pentru săvârșirea unor anumite acte juridice;</w:t>
      </w:r>
    </w:p>
    <w:p w14:paraId="54EEE785" w14:textId="5FD3A459" w:rsidR="00B062F5" w:rsidRPr="00143729" w:rsidRDefault="00B062F5" w:rsidP="00E03082">
      <w:pPr>
        <w:pStyle w:val="ListParagraph"/>
        <w:numPr>
          <w:ilvl w:val="0"/>
          <w:numId w:val="15"/>
        </w:numPr>
        <w:jc w:val="both"/>
        <w:rPr>
          <w:rFonts w:ascii="Times New Roman" w:hAnsi="Times New Roman" w:cs="Times New Roman"/>
          <w:sz w:val="24"/>
          <w:szCs w:val="24"/>
          <w:lang w:val="ro-RO"/>
        </w:rPr>
      </w:pPr>
      <w:r w:rsidRPr="00143729">
        <w:rPr>
          <w:rFonts w:ascii="Times New Roman" w:hAnsi="Times New Roman" w:cs="Times New Roman"/>
          <w:sz w:val="24"/>
          <w:szCs w:val="24"/>
          <w:lang w:val="ro-RO"/>
        </w:rPr>
        <w:t xml:space="preserve">să exercite alte împuterniciri atribuite </w:t>
      </w:r>
      <w:r w:rsidR="00143729">
        <w:rPr>
          <w:rFonts w:ascii="Times New Roman" w:hAnsi="Times New Roman" w:cs="Times New Roman"/>
          <w:sz w:val="24"/>
          <w:szCs w:val="24"/>
          <w:lang w:val="ro-RO"/>
        </w:rPr>
        <w:t>de decizia unică al asociatului</w:t>
      </w:r>
      <w:r w:rsidRPr="00143729">
        <w:rPr>
          <w:rFonts w:ascii="Times New Roman" w:hAnsi="Times New Roman" w:cs="Times New Roman"/>
          <w:sz w:val="24"/>
          <w:szCs w:val="24"/>
          <w:lang w:val="ro-RO"/>
        </w:rPr>
        <w:t>.</w:t>
      </w:r>
    </w:p>
    <w:p w14:paraId="6C34AA3D" w14:textId="5245E6A8" w:rsidR="00B062F5" w:rsidRPr="00BA1984" w:rsidRDefault="00B062F5" w:rsidP="00E03082">
      <w:pPr>
        <w:pStyle w:val="ListParagraph"/>
        <w:numPr>
          <w:ilvl w:val="1"/>
          <w:numId w:val="17"/>
        </w:numPr>
        <w:jc w:val="both"/>
        <w:rPr>
          <w:rFonts w:ascii="Times New Roman" w:hAnsi="Times New Roman" w:cs="Times New Roman"/>
          <w:sz w:val="24"/>
          <w:szCs w:val="24"/>
          <w:lang w:val="ro-RO"/>
        </w:rPr>
      </w:pPr>
      <w:r w:rsidRPr="00BA1984">
        <w:rPr>
          <w:rFonts w:ascii="Times New Roman" w:hAnsi="Times New Roman" w:cs="Times New Roman"/>
          <w:sz w:val="24"/>
          <w:szCs w:val="24"/>
          <w:lang w:val="ro-RO"/>
        </w:rPr>
        <w:lastRenderedPageBreak/>
        <w:t>Administratorul este obligat:</w:t>
      </w:r>
    </w:p>
    <w:p w14:paraId="3B73C698" w14:textId="2CA03E7D" w:rsidR="00B062F5" w:rsidRPr="00620ED4" w:rsidRDefault="00B062F5" w:rsidP="00E03082">
      <w:pPr>
        <w:pStyle w:val="ListParagraph"/>
        <w:numPr>
          <w:ilvl w:val="1"/>
          <w:numId w:val="15"/>
        </w:numPr>
        <w:ind w:left="567" w:hanging="283"/>
        <w:jc w:val="both"/>
        <w:rPr>
          <w:rFonts w:ascii="Times New Roman" w:hAnsi="Times New Roman" w:cs="Times New Roman"/>
          <w:sz w:val="24"/>
          <w:szCs w:val="24"/>
          <w:lang w:val="ro-RO"/>
        </w:rPr>
      </w:pPr>
      <w:r w:rsidRPr="00620ED4">
        <w:rPr>
          <w:rFonts w:ascii="Times New Roman" w:hAnsi="Times New Roman" w:cs="Times New Roman"/>
          <w:sz w:val="24"/>
          <w:szCs w:val="24"/>
          <w:lang w:val="ro-RO"/>
        </w:rPr>
        <w:t xml:space="preserve">să gestioneze </w:t>
      </w:r>
      <w:r w:rsidR="00143729" w:rsidRPr="00620ED4">
        <w:rPr>
          <w:rFonts w:ascii="Times New Roman" w:hAnsi="Times New Roman" w:cs="Times New Roman"/>
          <w:sz w:val="24"/>
          <w:szCs w:val="24"/>
          <w:lang w:val="ro-RO"/>
        </w:rPr>
        <w:t>Organizația</w:t>
      </w:r>
      <w:r w:rsidRPr="00620ED4">
        <w:rPr>
          <w:rFonts w:ascii="Times New Roman" w:hAnsi="Times New Roman" w:cs="Times New Roman"/>
          <w:sz w:val="24"/>
          <w:szCs w:val="24"/>
          <w:lang w:val="ro-RO"/>
        </w:rPr>
        <w:t xml:space="preserve"> astfel încât scopurile, pentru care aceasta a fost constituită, să fie realizate cât mai eficient;</w:t>
      </w:r>
    </w:p>
    <w:p w14:paraId="6396865D" w14:textId="7E0E7EBD" w:rsidR="00B062F5" w:rsidRPr="00555A08" w:rsidRDefault="00B062F5" w:rsidP="00E03082">
      <w:pPr>
        <w:pStyle w:val="ListParagraph"/>
        <w:numPr>
          <w:ilvl w:val="0"/>
          <w:numId w:val="15"/>
        </w:numPr>
        <w:jc w:val="both"/>
        <w:rPr>
          <w:rFonts w:ascii="Times New Roman" w:hAnsi="Times New Roman" w:cs="Times New Roman"/>
          <w:sz w:val="24"/>
          <w:szCs w:val="24"/>
          <w:lang w:val="ro-RO"/>
        </w:rPr>
      </w:pPr>
      <w:r w:rsidRPr="00555A08">
        <w:rPr>
          <w:rFonts w:ascii="Times New Roman" w:hAnsi="Times New Roman" w:cs="Times New Roman"/>
          <w:sz w:val="24"/>
          <w:szCs w:val="24"/>
          <w:lang w:val="ro-RO"/>
        </w:rPr>
        <w:t xml:space="preserve">să execute hotărârile </w:t>
      </w:r>
      <w:r w:rsidR="00143729">
        <w:rPr>
          <w:rFonts w:ascii="Times New Roman" w:hAnsi="Times New Roman" w:cs="Times New Roman"/>
          <w:sz w:val="24"/>
          <w:szCs w:val="24"/>
          <w:lang w:val="ro-RO"/>
        </w:rPr>
        <w:t>deciziilor asociatului unic</w:t>
      </w:r>
      <w:r w:rsidRPr="00555A08">
        <w:rPr>
          <w:rFonts w:ascii="Times New Roman" w:hAnsi="Times New Roman" w:cs="Times New Roman"/>
          <w:sz w:val="24"/>
          <w:szCs w:val="24"/>
          <w:lang w:val="ro-RO"/>
        </w:rPr>
        <w:t>;</w:t>
      </w:r>
    </w:p>
    <w:p w14:paraId="20AD9320" w14:textId="77777777" w:rsidR="00B062F5" w:rsidRPr="00555A08" w:rsidRDefault="00B062F5" w:rsidP="00E03082">
      <w:pPr>
        <w:pStyle w:val="ListParagraph"/>
        <w:numPr>
          <w:ilvl w:val="0"/>
          <w:numId w:val="15"/>
        </w:numPr>
        <w:jc w:val="both"/>
        <w:rPr>
          <w:rFonts w:ascii="Times New Roman" w:hAnsi="Times New Roman" w:cs="Times New Roman"/>
          <w:sz w:val="24"/>
          <w:szCs w:val="24"/>
          <w:lang w:val="ro-RO"/>
        </w:rPr>
      </w:pPr>
      <w:r w:rsidRPr="00555A08">
        <w:rPr>
          <w:rFonts w:ascii="Times New Roman" w:hAnsi="Times New Roman" w:cs="Times New Roman"/>
          <w:sz w:val="24"/>
          <w:szCs w:val="24"/>
          <w:lang w:val="ro-RO"/>
        </w:rPr>
        <w:t>să ia parte la adunările generale ale asociaților;</w:t>
      </w:r>
    </w:p>
    <w:p w14:paraId="3DF1F756" w14:textId="464B117B" w:rsidR="00B062F5" w:rsidRPr="00555A08" w:rsidRDefault="00B062F5" w:rsidP="00E03082">
      <w:pPr>
        <w:pStyle w:val="ListParagraph"/>
        <w:numPr>
          <w:ilvl w:val="0"/>
          <w:numId w:val="15"/>
        </w:numPr>
        <w:jc w:val="both"/>
        <w:rPr>
          <w:rFonts w:ascii="Times New Roman" w:hAnsi="Times New Roman" w:cs="Times New Roman"/>
          <w:sz w:val="24"/>
          <w:szCs w:val="24"/>
          <w:lang w:val="ro-RO"/>
        </w:rPr>
      </w:pPr>
      <w:r w:rsidRPr="00555A08">
        <w:rPr>
          <w:rFonts w:ascii="Times New Roman" w:hAnsi="Times New Roman" w:cs="Times New Roman"/>
          <w:sz w:val="24"/>
          <w:szCs w:val="24"/>
          <w:lang w:val="ro-RO"/>
        </w:rPr>
        <w:t xml:space="preserve">să asigure ținerea contabilității </w:t>
      </w:r>
      <w:r w:rsidR="00143729">
        <w:rPr>
          <w:rFonts w:ascii="Times New Roman" w:hAnsi="Times New Roman" w:cs="Times New Roman"/>
          <w:sz w:val="24"/>
          <w:szCs w:val="24"/>
          <w:lang w:val="ro-RO"/>
        </w:rPr>
        <w:t>Organizației</w:t>
      </w:r>
      <w:r w:rsidRPr="00555A08">
        <w:rPr>
          <w:rFonts w:ascii="Times New Roman" w:hAnsi="Times New Roman" w:cs="Times New Roman"/>
          <w:sz w:val="24"/>
          <w:szCs w:val="24"/>
          <w:lang w:val="ro-RO"/>
        </w:rPr>
        <w:t xml:space="preserve">, precum </w:t>
      </w:r>
      <w:proofErr w:type="spellStart"/>
      <w:r w:rsidRPr="00555A08">
        <w:rPr>
          <w:rFonts w:ascii="Times New Roman" w:hAnsi="Times New Roman" w:cs="Times New Roman"/>
          <w:sz w:val="24"/>
          <w:szCs w:val="24"/>
          <w:lang w:val="ro-RO"/>
        </w:rPr>
        <w:t>şi</w:t>
      </w:r>
      <w:proofErr w:type="spellEnd"/>
      <w:r w:rsidRPr="00555A08">
        <w:rPr>
          <w:rFonts w:ascii="Times New Roman" w:hAnsi="Times New Roman" w:cs="Times New Roman"/>
          <w:sz w:val="24"/>
          <w:szCs w:val="24"/>
          <w:lang w:val="ro-RO"/>
        </w:rPr>
        <w:t xml:space="preserve"> a registrelor </w:t>
      </w:r>
      <w:r w:rsidR="00143729">
        <w:rPr>
          <w:rFonts w:ascii="Times New Roman" w:hAnsi="Times New Roman" w:cs="Times New Roman"/>
          <w:sz w:val="24"/>
          <w:szCs w:val="24"/>
          <w:lang w:val="ro-RO"/>
        </w:rPr>
        <w:t>Organizației</w:t>
      </w:r>
      <w:r w:rsidRPr="00555A08">
        <w:rPr>
          <w:rFonts w:ascii="Times New Roman" w:hAnsi="Times New Roman" w:cs="Times New Roman"/>
          <w:sz w:val="24"/>
          <w:szCs w:val="24"/>
          <w:lang w:val="ro-RO"/>
        </w:rPr>
        <w:t xml:space="preserve"> ş</w:t>
      </w:r>
      <w:proofErr w:type="spellStart"/>
      <w:r w:rsidRPr="00555A08">
        <w:rPr>
          <w:rFonts w:ascii="Times New Roman" w:hAnsi="Times New Roman" w:cs="Times New Roman"/>
          <w:sz w:val="24"/>
          <w:szCs w:val="24"/>
          <w:lang w:val="ro-RO"/>
        </w:rPr>
        <w:t>i</w:t>
      </w:r>
      <w:proofErr w:type="spellEnd"/>
      <w:r w:rsidRPr="00555A08">
        <w:rPr>
          <w:rFonts w:ascii="Times New Roman" w:hAnsi="Times New Roman" w:cs="Times New Roman"/>
          <w:sz w:val="24"/>
          <w:szCs w:val="24"/>
          <w:lang w:val="ro-RO"/>
        </w:rPr>
        <w:t xml:space="preserve"> să informeze asociații cu privire la starea de lucruri </w:t>
      </w:r>
      <w:proofErr w:type="spellStart"/>
      <w:r w:rsidRPr="00555A08">
        <w:rPr>
          <w:rFonts w:ascii="Times New Roman" w:hAnsi="Times New Roman" w:cs="Times New Roman"/>
          <w:sz w:val="24"/>
          <w:szCs w:val="24"/>
          <w:lang w:val="ro-RO"/>
        </w:rPr>
        <w:t>şi</w:t>
      </w:r>
      <w:proofErr w:type="spellEnd"/>
      <w:r w:rsidRPr="00555A08">
        <w:rPr>
          <w:rFonts w:ascii="Times New Roman" w:hAnsi="Times New Roman" w:cs="Times New Roman"/>
          <w:sz w:val="24"/>
          <w:szCs w:val="24"/>
          <w:lang w:val="ro-RO"/>
        </w:rPr>
        <w:t xml:space="preserve"> la gestiunea </w:t>
      </w:r>
      <w:r w:rsidR="00143729">
        <w:rPr>
          <w:rFonts w:ascii="Times New Roman" w:hAnsi="Times New Roman" w:cs="Times New Roman"/>
          <w:sz w:val="24"/>
          <w:szCs w:val="24"/>
          <w:lang w:val="ro-RO"/>
        </w:rPr>
        <w:t>Organizației</w:t>
      </w:r>
      <w:r w:rsidRPr="00555A08">
        <w:rPr>
          <w:rFonts w:ascii="Times New Roman" w:hAnsi="Times New Roman" w:cs="Times New Roman"/>
          <w:sz w:val="24"/>
          <w:szCs w:val="24"/>
          <w:lang w:val="ro-RO"/>
        </w:rPr>
        <w:t>;</w:t>
      </w:r>
    </w:p>
    <w:p w14:paraId="524C8C24" w14:textId="77C9928C" w:rsidR="00B062F5" w:rsidRPr="00555A08" w:rsidRDefault="00B062F5" w:rsidP="00E03082">
      <w:pPr>
        <w:pStyle w:val="ListParagraph"/>
        <w:numPr>
          <w:ilvl w:val="0"/>
          <w:numId w:val="15"/>
        </w:numPr>
        <w:jc w:val="both"/>
        <w:rPr>
          <w:rFonts w:ascii="Times New Roman" w:hAnsi="Times New Roman" w:cs="Times New Roman"/>
          <w:sz w:val="24"/>
          <w:szCs w:val="24"/>
          <w:lang w:val="ro-RO"/>
        </w:rPr>
      </w:pPr>
      <w:r w:rsidRPr="00555A08">
        <w:rPr>
          <w:rFonts w:ascii="Times New Roman" w:hAnsi="Times New Roman" w:cs="Times New Roman"/>
          <w:sz w:val="24"/>
          <w:szCs w:val="24"/>
          <w:lang w:val="ro-RO"/>
        </w:rPr>
        <w:t xml:space="preserve">să convoace adunarea generală a asociaților dacă valoarea activelor nete ale </w:t>
      </w:r>
      <w:r w:rsidR="00143729">
        <w:rPr>
          <w:rFonts w:ascii="Times New Roman" w:hAnsi="Times New Roman" w:cs="Times New Roman"/>
          <w:sz w:val="24"/>
          <w:szCs w:val="24"/>
          <w:lang w:val="ro-RO"/>
        </w:rPr>
        <w:t>Organizației</w:t>
      </w:r>
      <w:r w:rsidRPr="00555A08">
        <w:rPr>
          <w:rFonts w:ascii="Times New Roman" w:hAnsi="Times New Roman" w:cs="Times New Roman"/>
          <w:sz w:val="24"/>
          <w:szCs w:val="24"/>
          <w:lang w:val="ro-RO"/>
        </w:rPr>
        <w:t xml:space="preserve"> a devenit mai mică decât capitalul ei social;</w:t>
      </w:r>
    </w:p>
    <w:p w14:paraId="3B271ECB" w14:textId="77777777" w:rsidR="00B062F5" w:rsidRPr="00555A08" w:rsidRDefault="00B062F5" w:rsidP="00E03082">
      <w:pPr>
        <w:pStyle w:val="ListParagraph"/>
        <w:numPr>
          <w:ilvl w:val="0"/>
          <w:numId w:val="15"/>
        </w:numPr>
        <w:jc w:val="both"/>
        <w:rPr>
          <w:rFonts w:ascii="Times New Roman" w:hAnsi="Times New Roman" w:cs="Times New Roman"/>
          <w:sz w:val="24"/>
          <w:szCs w:val="24"/>
          <w:lang w:val="ro-RO"/>
        </w:rPr>
      </w:pPr>
      <w:r w:rsidRPr="00555A08">
        <w:rPr>
          <w:rFonts w:ascii="Times New Roman" w:hAnsi="Times New Roman" w:cs="Times New Roman"/>
          <w:sz w:val="24"/>
          <w:szCs w:val="24"/>
          <w:lang w:val="ro-RO"/>
        </w:rPr>
        <w:t>să respecte limitele împuternicirilor stabilite de către adunarea generală a asociaților.</w:t>
      </w:r>
    </w:p>
    <w:p w14:paraId="66D52F8E" w14:textId="4C8A7AD9" w:rsidR="00B062F5" w:rsidRPr="00555A08" w:rsidRDefault="00B062F5" w:rsidP="00E03082">
      <w:pPr>
        <w:pStyle w:val="ListParagraph"/>
        <w:numPr>
          <w:ilvl w:val="0"/>
          <w:numId w:val="15"/>
        </w:numPr>
        <w:jc w:val="both"/>
        <w:rPr>
          <w:rFonts w:ascii="Times New Roman" w:hAnsi="Times New Roman" w:cs="Times New Roman"/>
          <w:sz w:val="24"/>
          <w:szCs w:val="24"/>
          <w:lang w:val="ro-RO"/>
        </w:rPr>
      </w:pPr>
      <w:r w:rsidRPr="00555A08">
        <w:rPr>
          <w:rFonts w:ascii="Times New Roman" w:hAnsi="Times New Roman" w:cs="Times New Roman"/>
          <w:sz w:val="24"/>
          <w:szCs w:val="24"/>
          <w:lang w:val="ro-RO"/>
        </w:rPr>
        <w:t xml:space="preserve">Administratorul întocmește anual un raport privind activitatea Societății, actul de inventariere a bunurilor </w:t>
      </w:r>
      <w:r w:rsidR="00143729">
        <w:rPr>
          <w:rFonts w:ascii="Times New Roman" w:hAnsi="Times New Roman" w:cs="Times New Roman"/>
          <w:sz w:val="24"/>
          <w:szCs w:val="24"/>
          <w:lang w:val="ro-RO"/>
        </w:rPr>
        <w:t>Organizației</w:t>
      </w:r>
      <w:r w:rsidRPr="00555A08">
        <w:rPr>
          <w:rFonts w:ascii="Times New Roman" w:hAnsi="Times New Roman" w:cs="Times New Roman"/>
          <w:sz w:val="24"/>
          <w:szCs w:val="24"/>
          <w:lang w:val="ro-RO"/>
        </w:rPr>
        <w:t xml:space="preserve"> și alte documente, care urmează a fi prezentate adunării generale a asociaților. </w:t>
      </w:r>
    </w:p>
    <w:p w14:paraId="1B8E4450" w14:textId="17C39686" w:rsidR="00B062F5" w:rsidRPr="00555A08" w:rsidRDefault="00B062F5" w:rsidP="00E03082">
      <w:pPr>
        <w:pStyle w:val="ListParagraph"/>
        <w:numPr>
          <w:ilvl w:val="0"/>
          <w:numId w:val="15"/>
        </w:numPr>
        <w:jc w:val="both"/>
        <w:rPr>
          <w:rFonts w:ascii="Times New Roman" w:hAnsi="Times New Roman" w:cs="Times New Roman"/>
          <w:sz w:val="24"/>
          <w:szCs w:val="24"/>
          <w:lang w:val="ro-RO"/>
        </w:rPr>
      </w:pPr>
      <w:r w:rsidRPr="00555A08">
        <w:rPr>
          <w:rFonts w:ascii="Times New Roman" w:hAnsi="Times New Roman" w:cs="Times New Roman"/>
          <w:sz w:val="24"/>
          <w:szCs w:val="24"/>
          <w:lang w:val="ro-RO"/>
        </w:rPr>
        <w:t xml:space="preserve">Administratorul </w:t>
      </w:r>
      <w:r w:rsidR="00620ED4">
        <w:rPr>
          <w:rFonts w:ascii="Times New Roman" w:hAnsi="Times New Roman" w:cs="Times New Roman"/>
          <w:sz w:val="24"/>
          <w:szCs w:val="24"/>
          <w:lang w:val="ro-RO"/>
        </w:rPr>
        <w:t>Organizației</w:t>
      </w:r>
      <w:r w:rsidRPr="00555A08">
        <w:rPr>
          <w:rFonts w:ascii="Times New Roman" w:hAnsi="Times New Roman" w:cs="Times New Roman"/>
          <w:sz w:val="24"/>
          <w:szCs w:val="24"/>
          <w:lang w:val="ro-RO"/>
        </w:rPr>
        <w:t xml:space="preserve"> poartă răspundere materială deplină pentru prejudiciile cauzate de el </w:t>
      </w:r>
      <w:r w:rsidR="00620ED4">
        <w:rPr>
          <w:rFonts w:ascii="Times New Roman" w:hAnsi="Times New Roman" w:cs="Times New Roman"/>
          <w:sz w:val="24"/>
          <w:szCs w:val="24"/>
          <w:lang w:val="ro-RO"/>
        </w:rPr>
        <w:t>Organizației</w:t>
      </w:r>
      <w:r w:rsidRPr="00555A08">
        <w:rPr>
          <w:rFonts w:ascii="Times New Roman" w:hAnsi="Times New Roman" w:cs="Times New Roman"/>
          <w:sz w:val="24"/>
          <w:szCs w:val="24"/>
          <w:lang w:val="ro-RO"/>
        </w:rPr>
        <w:t>, inclusiv prin plăți ilegale făcute asociaților.</w:t>
      </w:r>
    </w:p>
    <w:p w14:paraId="3C2D1125" w14:textId="77777777" w:rsidR="00B062F5" w:rsidRDefault="00B062F5" w:rsidP="00620ED4">
      <w:pPr>
        <w:pStyle w:val="ListParagraph"/>
        <w:ind w:left="284" w:hanging="142"/>
        <w:jc w:val="both"/>
        <w:rPr>
          <w:rFonts w:ascii="Times New Roman" w:hAnsi="Times New Roman" w:cs="Times New Roman"/>
          <w:sz w:val="24"/>
          <w:szCs w:val="24"/>
          <w:lang w:val="ro-RO"/>
        </w:rPr>
      </w:pPr>
    </w:p>
    <w:p w14:paraId="55AF37AA" w14:textId="2610F45A" w:rsidR="00C16ABF" w:rsidRPr="00D1077D" w:rsidRDefault="00391DF4" w:rsidP="00E03082">
      <w:pPr>
        <w:pStyle w:val="Heading1"/>
        <w:numPr>
          <w:ilvl w:val="0"/>
          <w:numId w:val="16"/>
        </w:numPr>
        <w:rPr>
          <w:rFonts w:cs="Times New Roman"/>
          <w:b/>
          <w:sz w:val="24"/>
          <w:szCs w:val="24"/>
          <w:lang w:val="ro-RO"/>
        </w:rPr>
      </w:pPr>
      <w:r>
        <w:rPr>
          <w:rFonts w:cs="Times New Roman"/>
          <w:b/>
          <w:sz w:val="24"/>
          <w:szCs w:val="24"/>
          <w:lang w:val="ro-RO"/>
        </w:rPr>
        <w:t>Elaborarea, aprobarea și i</w:t>
      </w:r>
      <w:r w:rsidR="00C16ABF" w:rsidRPr="00D1077D">
        <w:rPr>
          <w:rFonts w:cs="Times New Roman"/>
          <w:b/>
          <w:sz w:val="24"/>
          <w:szCs w:val="24"/>
          <w:lang w:val="ro-RO"/>
        </w:rPr>
        <w:t>mplementarea politicii de creditare</w:t>
      </w:r>
    </w:p>
    <w:p w14:paraId="6A4C5DCE" w14:textId="68751601" w:rsidR="00B84F81" w:rsidRPr="00BA1984" w:rsidRDefault="00B84F81" w:rsidP="00E03082">
      <w:pPr>
        <w:pStyle w:val="ListParagraph"/>
        <w:numPr>
          <w:ilvl w:val="1"/>
          <w:numId w:val="18"/>
        </w:numPr>
        <w:jc w:val="both"/>
        <w:rPr>
          <w:rFonts w:ascii="Times New Roman" w:hAnsi="Times New Roman" w:cs="Times New Roman"/>
          <w:sz w:val="24"/>
          <w:szCs w:val="24"/>
          <w:lang w:val="ro-RO"/>
        </w:rPr>
      </w:pPr>
      <w:r w:rsidRPr="00BA1984">
        <w:rPr>
          <w:rFonts w:ascii="Times New Roman" w:hAnsi="Times New Roman" w:cs="Times New Roman"/>
          <w:sz w:val="24"/>
          <w:szCs w:val="24"/>
          <w:lang w:val="ro-RO"/>
        </w:rPr>
        <w:t>Baza pentru formarea și dezvoltarea proceselor de creditare, precum și caracteristicile lor, o constituie politica de creditare. Cu ajutorul politici</w:t>
      </w:r>
      <w:r w:rsidRPr="00BA1984">
        <w:rPr>
          <w:rFonts w:ascii="Times New Roman" w:hAnsi="Times New Roman" w:cs="Times New Roman"/>
          <w:sz w:val="24"/>
          <w:szCs w:val="24"/>
          <w:lang w:val="ro-RO"/>
        </w:rPr>
        <w:t>i de creditare</w:t>
      </w:r>
      <w:r w:rsidRPr="00BA1984">
        <w:rPr>
          <w:rFonts w:ascii="Times New Roman" w:hAnsi="Times New Roman" w:cs="Times New Roman"/>
          <w:sz w:val="24"/>
          <w:szCs w:val="24"/>
          <w:lang w:val="ro-RO"/>
        </w:rPr>
        <w:t xml:space="preserve"> </w:t>
      </w:r>
      <w:r w:rsidRPr="00BA1984">
        <w:rPr>
          <w:rFonts w:ascii="Times New Roman" w:hAnsi="Times New Roman" w:cs="Times New Roman"/>
          <w:sz w:val="24"/>
          <w:szCs w:val="24"/>
          <w:lang w:val="ro-RO"/>
        </w:rPr>
        <w:t>Organizația</w:t>
      </w:r>
      <w:r w:rsidRPr="00BA1984">
        <w:rPr>
          <w:rFonts w:ascii="Times New Roman" w:hAnsi="Times New Roman" w:cs="Times New Roman"/>
          <w:sz w:val="24"/>
          <w:szCs w:val="24"/>
          <w:lang w:val="ro-RO"/>
        </w:rPr>
        <w:t xml:space="preserve"> efectuează plasamente profitabile a pasivelor în diverse produse de creditare cu condiția consolidării portofoliului de </w:t>
      </w:r>
      <w:proofErr w:type="spellStart"/>
      <w:r w:rsidRPr="00BA1984">
        <w:rPr>
          <w:rFonts w:ascii="Times New Roman" w:hAnsi="Times New Roman" w:cs="Times New Roman"/>
          <w:sz w:val="24"/>
          <w:szCs w:val="24"/>
          <w:lang w:val="ro-RO"/>
        </w:rPr>
        <w:t>clienti</w:t>
      </w:r>
      <w:proofErr w:type="spellEnd"/>
      <w:r w:rsidRPr="00BA1984">
        <w:rPr>
          <w:rFonts w:ascii="Times New Roman" w:hAnsi="Times New Roman" w:cs="Times New Roman"/>
          <w:sz w:val="24"/>
          <w:szCs w:val="24"/>
          <w:lang w:val="ro-RO"/>
        </w:rPr>
        <w:t xml:space="preserve"> si optimizării riscurilor financiare.</w:t>
      </w:r>
    </w:p>
    <w:p w14:paraId="54584C33" w14:textId="34BFC526" w:rsidR="00C16ABF" w:rsidRPr="00391DF4" w:rsidRDefault="00B84F81" w:rsidP="00E03082">
      <w:pPr>
        <w:pStyle w:val="ListParagraph"/>
        <w:numPr>
          <w:ilvl w:val="1"/>
          <w:numId w:val="18"/>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Scopul primordial al </w:t>
      </w:r>
      <w:r w:rsidR="00C16ABF" w:rsidRPr="00391DF4">
        <w:rPr>
          <w:rFonts w:ascii="Times New Roman" w:hAnsi="Times New Roman" w:cs="Times New Roman"/>
          <w:sz w:val="24"/>
          <w:szCs w:val="24"/>
          <w:lang w:val="ro-RO"/>
        </w:rPr>
        <w:t xml:space="preserve">politicii de creditare </w:t>
      </w:r>
      <w:r w:rsidR="00BA1984">
        <w:rPr>
          <w:rFonts w:ascii="Times New Roman" w:hAnsi="Times New Roman" w:cs="Times New Roman"/>
          <w:sz w:val="24"/>
          <w:szCs w:val="24"/>
          <w:lang w:val="ro-RO"/>
        </w:rPr>
        <w:t>este</w:t>
      </w:r>
      <w:r w:rsidR="00C16ABF" w:rsidRPr="00391DF4">
        <w:rPr>
          <w:rFonts w:ascii="Times New Roman" w:hAnsi="Times New Roman" w:cs="Times New Roman"/>
          <w:sz w:val="24"/>
          <w:szCs w:val="24"/>
          <w:lang w:val="ro-RO"/>
        </w:rPr>
        <w:t xml:space="preserve"> sporir</w:t>
      </w:r>
      <w:r w:rsidR="00BA1984">
        <w:rPr>
          <w:rFonts w:ascii="Times New Roman" w:hAnsi="Times New Roman" w:cs="Times New Roman"/>
          <w:sz w:val="24"/>
          <w:szCs w:val="24"/>
          <w:lang w:val="ro-RO"/>
        </w:rPr>
        <w:t>ea</w:t>
      </w:r>
      <w:r w:rsidR="00C16ABF" w:rsidRPr="00391DF4">
        <w:rPr>
          <w:rFonts w:ascii="Times New Roman" w:hAnsi="Times New Roman" w:cs="Times New Roman"/>
          <w:sz w:val="24"/>
          <w:szCs w:val="24"/>
          <w:lang w:val="ro-RO"/>
        </w:rPr>
        <w:t xml:space="preserve"> profitabilității și competitivității</w:t>
      </w:r>
      <w:r w:rsidR="00BA1984">
        <w:rPr>
          <w:rFonts w:ascii="Times New Roman" w:hAnsi="Times New Roman" w:cs="Times New Roman"/>
          <w:sz w:val="24"/>
          <w:szCs w:val="24"/>
          <w:lang w:val="ro-RO"/>
        </w:rPr>
        <w:t>.</w:t>
      </w:r>
      <w:r w:rsidR="00C16ABF" w:rsidRPr="00391DF4">
        <w:rPr>
          <w:rFonts w:ascii="Times New Roman" w:hAnsi="Times New Roman" w:cs="Times New Roman"/>
          <w:sz w:val="24"/>
          <w:szCs w:val="24"/>
          <w:lang w:val="ro-RO"/>
        </w:rPr>
        <w:t xml:space="preserve"> </w:t>
      </w:r>
      <w:r w:rsidR="00BA1984">
        <w:rPr>
          <w:rFonts w:ascii="Times New Roman" w:hAnsi="Times New Roman" w:cs="Times New Roman"/>
          <w:sz w:val="24"/>
          <w:szCs w:val="24"/>
          <w:lang w:val="ro-RO"/>
        </w:rPr>
        <w:t>Î</w:t>
      </w:r>
      <w:r w:rsidR="00BA1984" w:rsidRPr="00391DF4">
        <w:rPr>
          <w:rFonts w:ascii="Times New Roman" w:hAnsi="Times New Roman" w:cs="Times New Roman"/>
          <w:sz w:val="24"/>
          <w:szCs w:val="24"/>
          <w:lang w:val="ro-RO"/>
        </w:rPr>
        <w:t xml:space="preserve">n procesul de creditare </w:t>
      </w:r>
      <w:r w:rsidR="00C16ABF" w:rsidRPr="00391DF4">
        <w:rPr>
          <w:rFonts w:ascii="Times New Roman" w:hAnsi="Times New Roman" w:cs="Times New Roman"/>
          <w:sz w:val="24"/>
          <w:szCs w:val="24"/>
          <w:lang w:val="ro-RO"/>
        </w:rPr>
        <w:t>Organizația pune accent pe calitatea și viteza de deservire a clientelei.</w:t>
      </w:r>
    </w:p>
    <w:p w14:paraId="5A702C59" w14:textId="42C37EEF" w:rsidR="00C16ABF" w:rsidRPr="00F11F76" w:rsidRDefault="00C16ABF" w:rsidP="00E03082">
      <w:pPr>
        <w:pStyle w:val="ListParagraph"/>
        <w:numPr>
          <w:ilvl w:val="1"/>
          <w:numId w:val="18"/>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Dat fiind faptul că portofoliul de credite acordat persoanelor fizice constitui</w:t>
      </w:r>
      <w:r w:rsidR="004B6E27">
        <w:rPr>
          <w:rFonts w:ascii="Times New Roman" w:hAnsi="Times New Roman" w:cs="Times New Roman"/>
          <w:sz w:val="24"/>
          <w:szCs w:val="24"/>
          <w:lang w:val="ro-RO"/>
        </w:rPr>
        <w:t>e</w:t>
      </w:r>
      <w:r w:rsidRPr="00F11F76">
        <w:rPr>
          <w:rFonts w:ascii="Times New Roman" w:hAnsi="Times New Roman" w:cs="Times New Roman"/>
          <w:sz w:val="24"/>
          <w:szCs w:val="24"/>
          <w:lang w:val="ro-RO"/>
        </w:rPr>
        <w:t xml:space="preserve"> o direcție prioritară, Organizația concentr</w:t>
      </w:r>
      <w:r w:rsidR="004B6E27">
        <w:rPr>
          <w:rFonts w:ascii="Times New Roman" w:hAnsi="Times New Roman" w:cs="Times New Roman"/>
          <w:sz w:val="24"/>
          <w:szCs w:val="24"/>
          <w:lang w:val="ro-RO"/>
        </w:rPr>
        <w:t>ează</w:t>
      </w:r>
      <w:r w:rsidRPr="00F11F76">
        <w:rPr>
          <w:rFonts w:ascii="Times New Roman" w:hAnsi="Times New Roman" w:cs="Times New Roman"/>
          <w:sz w:val="24"/>
          <w:szCs w:val="24"/>
          <w:lang w:val="ro-RO"/>
        </w:rPr>
        <w:t xml:space="preserve"> eforturile și resursele asupra maximizării volumului și ponderii acestora în structura portofoliului de credite.</w:t>
      </w:r>
    </w:p>
    <w:p w14:paraId="1C623AC9" w14:textId="2DB3D04A" w:rsidR="00C16ABF" w:rsidRPr="00F11F76" w:rsidRDefault="00C16ABF" w:rsidP="00E03082">
      <w:pPr>
        <w:pStyle w:val="ListParagraph"/>
        <w:numPr>
          <w:ilvl w:val="1"/>
          <w:numId w:val="18"/>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Organizația elabor</w:t>
      </w:r>
      <w:r w:rsidR="004B6E27">
        <w:rPr>
          <w:rFonts w:ascii="Times New Roman" w:hAnsi="Times New Roman" w:cs="Times New Roman"/>
          <w:sz w:val="24"/>
          <w:szCs w:val="24"/>
          <w:lang w:val="ro-RO"/>
        </w:rPr>
        <w:t>ează</w:t>
      </w:r>
      <w:r w:rsidRPr="00F11F76">
        <w:rPr>
          <w:rFonts w:ascii="Times New Roman" w:hAnsi="Times New Roman" w:cs="Times New Roman"/>
          <w:sz w:val="24"/>
          <w:szCs w:val="24"/>
          <w:lang w:val="ro-RO"/>
        </w:rPr>
        <w:t xml:space="preserve"> un set de măsuri ce</w:t>
      </w:r>
      <w:r w:rsidR="004B6E27">
        <w:rPr>
          <w:rFonts w:ascii="Times New Roman" w:hAnsi="Times New Roman" w:cs="Times New Roman"/>
          <w:sz w:val="24"/>
          <w:szCs w:val="24"/>
          <w:lang w:val="ro-RO"/>
        </w:rPr>
        <w:t xml:space="preserve"> </w:t>
      </w:r>
      <w:r w:rsidRPr="00F11F76">
        <w:rPr>
          <w:rFonts w:ascii="Times New Roman" w:hAnsi="Times New Roman" w:cs="Times New Roman"/>
          <w:sz w:val="24"/>
          <w:szCs w:val="24"/>
          <w:lang w:val="ro-RO"/>
        </w:rPr>
        <w:t>îmbin</w:t>
      </w:r>
      <w:r w:rsidR="004B6E27">
        <w:rPr>
          <w:rFonts w:ascii="Times New Roman" w:hAnsi="Times New Roman" w:cs="Times New Roman"/>
          <w:sz w:val="24"/>
          <w:szCs w:val="24"/>
          <w:lang w:val="ro-RO"/>
        </w:rPr>
        <w:t>ă</w:t>
      </w:r>
      <w:r w:rsidRPr="00F11F76">
        <w:rPr>
          <w:rFonts w:ascii="Times New Roman" w:hAnsi="Times New Roman" w:cs="Times New Roman"/>
          <w:sz w:val="24"/>
          <w:szCs w:val="24"/>
          <w:lang w:val="ro-RO"/>
        </w:rPr>
        <w:t xml:space="preserve"> produsele și serviciile destinate persoanelor fizice </w:t>
      </w:r>
      <w:r w:rsidR="004B6E27">
        <w:rPr>
          <w:rFonts w:ascii="Times New Roman" w:hAnsi="Times New Roman" w:cs="Times New Roman"/>
          <w:sz w:val="24"/>
          <w:szCs w:val="24"/>
          <w:lang w:val="ro-RO"/>
        </w:rPr>
        <w:t>care măresc</w:t>
      </w:r>
      <w:r w:rsidRPr="00F11F76">
        <w:rPr>
          <w:rFonts w:ascii="Times New Roman" w:hAnsi="Times New Roman" w:cs="Times New Roman"/>
          <w:sz w:val="24"/>
          <w:szCs w:val="24"/>
          <w:lang w:val="ro-RO"/>
        </w:rPr>
        <w:t xml:space="preserve"> atractivitatea acestora.</w:t>
      </w:r>
    </w:p>
    <w:p w14:paraId="7F75EC6F" w14:textId="022E6DA2" w:rsidR="00C16ABF" w:rsidRPr="00F11F76" w:rsidRDefault="00C16ABF" w:rsidP="00E03082">
      <w:pPr>
        <w:pStyle w:val="ListParagraph"/>
        <w:numPr>
          <w:ilvl w:val="1"/>
          <w:numId w:val="18"/>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 xml:space="preserve">Concentrarea și acumularea informației pentru </w:t>
      </w:r>
      <w:r w:rsidR="0061249B" w:rsidRPr="00F11F76">
        <w:rPr>
          <w:rFonts w:ascii="Times New Roman" w:hAnsi="Times New Roman" w:cs="Times New Roman"/>
          <w:sz w:val="24"/>
          <w:szCs w:val="24"/>
          <w:lang w:val="ro-RO"/>
        </w:rPr>
        <w:t>perfecționarea</w:t>
      </w:r>
      <w:r w:rsidRPr="00F11F76">
        <w:rPr>
          <w:rFonts w:ascii="Times New Roman" w:hAnsi="Times New Roman" w:cs="Times New Roman"/>
          <w:sz w:val="24"/>
          <w:szCs w:val="24"/>
          <w:lang w:val="ro-RO"/>
        </w:rPr>
        <w:t xml:space="preserve"> sistemului de </w:t>
      </w:r>
      <w:proofErr w:type="spellStart"/>
      <w:r w:rsidRPr="00F11F76">
        <w:rPr>
          <w:rFonts w:ascii="Times New Roman" w:hAnsi="Times New Roman" w:cs="Times New Roman"/>
          <w:sz w:val="24"/>
          <w:szCs w:val="24"/>
          <w:lang w:val="ro-RO"/>
        </w:rPr>
        <w:t>scoring</w:t>
      </w:r>
      <w:proofErr w:type="spellEnd"/>
      <w:r w:rsidRPr="00F11F76">
        <w:rPr>
          <w:rFonts w:ascii="Times New Roman" w:hAnsi="Times New Roman" w:cs="Times New Roman"/>
          <w:sz w:val="24"/>
          <w:szCs w:val="24"/>
          <w:lang w:val="ro-RO"/>
        </w:rPr>
        <w:t xml:space="preserve"> pentru creditele destinate persoanelor fizice</w:t>
      </w:r>
      <w:r w:rsidR="00BA1984">
        <w:rPr>
          <w:rFonts w:ascii="Times New Roman" w:hAnsi="Times New Roman" w:cs="Times New Roman"/>
          <w:sz w:val="24"/>
          <w:szCs w:val="24"/>
          <w:lang w:val="ro-RO"/>
        </w:rPr>
        <w:t>, care</w:t>
      </w:r>
      <w:r w:rsidRPr="00F11F76">
        <w:rPr>
          <w:rFonts w:ascii="Times New Roman" w:hAnsi="Times New Roman" w:cs="Times New Roman"/>
          <w:sz w:val="24"/>
          <w:szCs w:val="24"/>
          <w:lang w:val="ro-RO"/>
        </w:rPr>
        <w:t xml:space="preserve"> permite facilitarea și accelerarea procesului decizional</w:t>
      </w:r>
      <w:r w:rsidR="002B78E5">
        <w:rPr>
          <w:rFonts w:ascii="Times New Roman" w:hAnsi="Times New Roman" w:cs="Times New Roman"/>
          <w:sz w:val="24"/>
          <w:szCs w:val="24"/>
          <w:lang w:val="ro-RO"/>
        </w:rPr>
        <w:t>.</w:t>
      </w:r>
    </w:p>
    <w:p w14:paraId="11FF9001" w14:textId="484E020A" w:rsidR="00C02039" w:rsidRPr="00F11F76" w:rsidRDefault="00C02039" w:rsidP="00E03082">
      <w:pPr>
        <w:pStyle w:val="ListParagraph"/>
        <w:numPr>
          <w:ilvl w:val="1"/>
          <w:numId w:val="18"/>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 xml:space="preserve">Partenerii strategici ai Organizației </w:t>
      </w:r>
      <w:r w:rsidR="004B6E27">
        <w:rPr>
          <w:rFonts w:ascii="Times New Roman" w:hAnsi="Times New Roman" w:cs="Times New Roman"/>
          <w:sz w:val="24"/>
          <w:szCs w:val="24"/>
          <w:lang w:val="ro-RO"/>
        </w:rPr>
        <w:t>sunt</w:t>
      </w:r>
      <w:r w:rsidRPr="00F11F76">
        <w:rPr>
          <w:rFonts w:ascii="Times New Roman" w:hAnsi="Times New Roman" w:cs="Times New Roman"/>
          <w:sz w:val="24"/>
          <w:szCs w:val="24"/>
          <w:lang w:val="ro-RO"/>
        </w:rPr>
        <w:t xml:space="preserve"> companiile cu reputația de bună afacere – furnizorii de utilaj tehnologic, și comercial, companiile de construcție, etc.</w:t>
      </w:r>
    </w:p>
    <w:p w14:paraId="295862F9" w14:textId="5CF87F86" w:rsidR="00C02039" w:rsidRPr="00F11F76" w:rsidRDefault="00C02039" w:rsidP="00E03082">
      <w:pPr>
        <w:pStyle w:val="ListParagraph"/>
        <w:numPr>
          <w:ilvl w:val="1"/>
          <w:numId w:val="18"/>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 xml:space="preserve">În cadrul gestiunii creditelor destinate persoanelor fizice, Organizația </w:t>
      </w:r>
      <w:r w:rsidR="004B6E27">
        <w:rPr>
          <w:rFonts w:ascii="Times New Roman" w:hAnsi="Times New Roman" w:cs="Times New Roman"/>
          <w:sz w:val="24"/>
          <w:szCs w:val="24"/>
          <w:lang w:val="ro-RO"/>
        </w:rPr>
        <w:t>menține</w:t>
      </w:r>
      <w:r w:rsidRPr="00F11F76">
        <w:rPr>
          <w:rFonts w:ascii="Times New Roman" w:hAnsi="Times New Roman" w:cs="Times New Roman"/>
          <w:sz w:val="24"/>
          <w:szCs w:val="24"/>
          <w:lang w:val="ro-RO"/>
        </w:rPr>
        <w:t xml:space="preserve"> o politică agresivă, dar bazată pe calitatea clientului</w:t>
      </w:r>
      <w:r w:rsidR="002B78E5">
        <w:rPr>
          <w:rFonts w:ascii="Times New Roman" w:hAnsi="Times New Roman" w:cs="Times New Roman"/>
          <w:sz w:val="24"/>
          <w:szCs w:val="24"/>
          <w:lang w:val="ro-RO"/>
        </w:rPr>
        <w:t>.</w:t>
      </w:r>
    </w:p>
    <w:p w14:paraId="3ED9BADB" w14:textId="7A33CF15" w:rsidR="00C02039" w:rsidRDefault="00C02039" w:rsidP="00E03082">
      <w:pPr>
        <w:pStyle w:val="ListParagraph"/>
        <w:numPr>
          <w:ilvl w:val="1"/>
          <w:numId w:val="18"/>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 xml:space="preserve">Eforturile Organizației </w:t>
      </w:r>
      <w:r w:rsidR="004B6E27">
        <w:rPr>
          <w:rFonts w:ascii="Times New Roman" w:hAnsi="Times New Roman" w:cs="Times New Roman"/>
          <w:sz w:val="24"/>
          <w:szCs w:val="24"/>
          <w:lang w:val="ro-RO"/>
        </w:rPr>
        <w:t>sunt</w:t>
      </w:r>
      <w:r w:rsidRPr="00F11F76">
        <w:rPr>
          <w:rFonts w:ascii="Times New Roman" w:hAnsi="Times New Roman" w:cs="Times New Roman"/>
          <w:sz w:val="24"/>
          <w:szCs w:val="24"/>
          <w:lang w:val="ro-RO"/>
        </w:rPr>
        <w:t xml:space="preserve"> îndreptate spre </w:t>
      </w:r>
      <w:r w:rsidR="002B78E5">
        <w:rPr>
          <w:rFonts w:ascii="Times New Roman" w:hAnsi="Times New Roman" w:cs="Times New Roman"/>
          <w:sz w:val="24"/>
          <w:szCs w:val="24"/>
          <w:lang w:val="ro-RO"/>
        </w:rPr>
        <w:t xml:space="preserve">acapararea și </w:t>
      </w:r>
      <w:r w:rsidRPr="00F11F76">
        <w:rPr>
          <w:rFonts w:ascii="Times New Roman" w:hAnsi="Times New Roman" w:cs="Times New Roman"/>
          <w:sz w:val="24"/>
          <w:szCs w:val="24"/>
          <w:lang w:val="ro-RO"/>
        </w:rPr>
        <w:t xml:space="preserve">păstrarea cotei de piață </w:t>
      </w:r>
      <w:r w:rsidR="002B78E5">
        <w:rPr>
          <w:rFonts w:ascii="Times New Roman" w:hAnsi="Times New Roman" w:cs="Times New Roman"/>
          <w:sz w:val="24"/>
          <w:szCs w:val="24"/>
          <w:lang w:val="ro-RO"/>
        </w:rPr>
        <w:t xml:space="preserve">pe piața creditară nebancară. </w:t>
      </w:r>
      <w:r w:rsidR="00501E09">
        <w:rPr>
          <w:rFonts w:ascii="Times New Roman" w:hAnsi="Times New Roman" w:cs="Times New Roman"/>
          <w:sz w:val="24"/>
          <w:szCs w:val="24"/>
          <w:lang w:val="ro-RO"/>
        </w:rPr>
        <w:t>P</w:t>
      </w:r>
      <w:r w:rsidRPr="00F11F76">
        <w:rPr>
          <w:rFonts w:ascii="Times New Roman" w:hAnsi="Times New Roman" w:cs="Times New Roman"/>
          <w:sz w:val="24"/>
          <w:szCs w:val="24"/>
          <w:lang w:val="ro-RO"/>
        </w:rPr>
        <w:t>entru aceasta Organizația lans</w:t>
      </w:r>
      <w:r w:rsidR="004B6E27">
        <w:rPr>
          <w:rFonts w:ascii="Times New Roman" w:hAnsi="Times New Roman" w:cs="Times New Roman"/>
          <w:sz w:val="24"/>
          <w:szCs w:val="24"/>
          <w:lang w:val="ro-RO"/>
        </w:rPr>
        <w:t>ează</w:t>
      </w:r>
      <w:r w:rsidRPr="00F11F76">
        <w:rPr>
          <w:rFonts w:ascii="Times New Roman" w:hAnsi="Times New Roman" w:cs="Times New Roman"/>
          <w:sz w:val="24"/>
          <w:szCs w:val="24"/>
          <w:lang w:val="ro-RO"/>
        </w:rPr>
        <w:t xml:space="preserve"> un set de măsuri preventive de protejare contra concurenților, de fortificare a relațiilor cu clienții </w:t>
      </w:r>
      <w:r w:rsidR="00501E09">
        <w:rPr>
          <w:rFonts w:ascii="Times New Roman" w:hAnsi="Times New Roman" w:cs="Times New Roman"/>
          <w:sz w:val="24"/>
          <w:szCs w:val="24"/>
          <w:lang w:val="ro-RO"/>
        </w:rPr>
        <w:t>potențiali</w:t>
      </w:r>
      <w:r w:rsidRPr="00F11F76">
        <w:rPr>
          <w:rFonts w:ascii="Times New Roman" w:hAnsi="Times New Roman" w:cs="Times New Roman"/>
          <w:sz w:val="24"/>
          <w:szCs w:val="24"/>
          <w:lang w:val="ro-RO"/>
        </w:rPr>
        <w:t xml:space="preserve"> și cei noi atrași, punând accent pe tehnologia de vânzare/ deservire.</w:t>
      </w:r>
    </w:p>
    <w:p w14:paraId="43BE15B6" w14:textId="795DB6FC" w:rsidR="009D1106" w:rsidRPr="00F11F76" w:rsidRDefault="009D1106" w:rsidP="00E03082">
      <w:pPr>
        <w:pStyle w:val="ListParagraph"/>
        <w:numPr>
          <w:ilvl w:val="1"/>
          <w:numId w:val="18"/>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Organizația elabor</w:t>
      </w:r>
      <w:r w:rsidR="004B6E27">
        <w:rPr>
          <w:rFonts w:ascii="Times New Roman" w:hAnsi="Times New Roman" w:cs="Times New Roman"/>
          <w:sz w:val="24"/>
          <w:szCs w:val="24"/>
          <w:lang w:val="ro-RO"/>
        </w:rPr>
        <w:t>ează</w:t>
      </w:r>
      <w:r w:rsidRPr="00F11F76">
        <w:rPr>
          <w:rFonts w:ascii="Times New Roman" w:hAnsi="Times New Roman" w:cs="Times New Roman"/>
          <w:sz w:val="24"/>
          <w:szCs w:val="24"/>
          <w:lang w:val="ro-RO"/>
        </w:rPr>
        <w:t xml:space="preserve"> și implement</w:t>
      </w:r>
      <w:r w:rsidR="004B6E27">
        <w:rPr>
          <w:rFonts w:ascii="Times New Roman" w:hAnsi="Times New Roman" w:cs="Times New Roman"/>
          <w:sz w:val="24"/>
          <w:szCs w:val="24"/>
          <w:lang w:val="ro-RO"/>
        </w:rPr>
        <w:t>ează</w:t>
      </w:r>
      <w:r w:rsidRPr="00F11F76">
        <w:rPr>
          <w:rFonts w:ascii="Times New Roman" w:hAnsi="Times New Roman" w:cs="Times New Roman"/>
          <w:sz w:val="24"/>
          <w:szCs w:val="24"/>
          <w:lang w:val="ro-RO"/>
        </w:rPr>
        <w:t xml:space="preserve"> produse de credit destinate diferitor categorii de clienți, în dependență de dezvoltarea pieței produselor de credit</w:t>
      </w:r>
      <w:r>
        <w:rPr>
          <w:rFonts w:ascii="Times New Roman" w:hAnsi="Times New Roman" w:cs="Times New Roman"/>
          <w:sz w:val="24"/>
          <w:szCs w:val="24"/>
          <w:lang w:val="ro-RO"/>
        </w:rPr>
        <w:t xml:space="preserve"> pe piața nebancară</w:t>
      </w:r>
      <w:r w:rsidR="00BA1984">
        <w:rPr>
          <w:rFonts w:ascii="Times New Roman" w:hAnsi="Times New Roman" w:cs="Times New Roman"/>
          <w:sz w:val="24"/>
          <w:szCs w:val="24"/>
          <w:lang w:val="ro-RO"/>
        </w:rPr>
        <w:t xml:space="preserve"> și al disponibilității resurselor.</w:t>
      </w:r>
    </w:p>
    <w:p w14:paraId="41E23994" w14:textId="77777777" w:rsidR="00C02039" w:rsidRPr="00F11F76" w:rsidRDefault="00C02039" w:rsidP="00F11F76">
      <w:pPr>
        <w:pStyle w:val="ListParagraph"/>
        <w:ind w:left="540"/>
        <w:jc w:val="both"/>
        <w:rPr>
          <w:rFonts w:ascii="Times New Roman" w:hAnsi="Times New Roman" w:cs="Times New Roman"/>
          <w:sz w:val="24"/>
          <w:szCs w:val="24"/>
          <w:lang w:val="ro-RO"/>
        </w:rPr>
      </w:pPr>
    </w:p>
    <w:p w14:paraId="1EC7AA53" w14:textId="3F8832A7" w:rsidR="00C02039" w:rsidRDefault="009D1106" w:rsidP="00E03082">
      <w:pPr>
        <w:pStyle w:val="Heading1"/>
        <w:numPr>
          <w:ilvl w:val="0"/>
          <w:numId w:val="19"/>
        </w:numPr>
        <w:rPr>
          <w:rFonts w:cs="Times New Roman"/>
          <w:b/>
          <w:sz w:val="24"/>
          <w:szCs w:val="24"/>
          <w:lang w:val="ro-MD"/>
        </w:rPr>
      </w:pPr>
      <w:r>
        <w:rPr>
          <w:rFonts w:cs="Times New Roman"/>
          <w:b/>
          <w:sz w:val="24"/>
          <w:szCs w:val="24"/>
          <w:lang w:val="ro-RO"/>
        </w:rPr>
        <w:t xml:space="preserve">Identificarea, evaluarea </w:t>
      </w:r>
      <w:r>
        <w:rPr>
          <w:rFonts w:cs="Times New Roman"/>
          <w:b/>
          <w:sz w:val="24"/>
          <w:szCs w:val="24"/>
          <w:lang w:val="ro-MD"/>
        </w:rPr>
        <w:t>și minimizarea riscului de credit</w:t>
      </w:r>
    </w:p>
    <w:p w14:paraId="61C5DDA3" w14:textId="77777777" w:rsidR="000648CA" w:rsidRPr="00F11F76" w:rsidRDefault="000648CA" w:rsidP="000648CA">
      <w:pPr>
        <w:jc w:val="both"/>
        <w:rPr>
          <w:rFonts w:ascii="Times New Roman" w:hAnsi="Times New Roman" w:cs="Times New Roman"/>
          <w:sz w:val="24"/>
          <w:szCs w:val="24"/>
          <w:lang w:val="ro-RO"/>
        </w:rPr>
      </w:pPr>
    </w:p>
    <w:p w14:paraId="054878B5" w14:textId="5634F2C2" w:rsidR="00D13BD5" w:rsidRPr="00BA1984" w:rsidRDefault="00D13BD5" w:rsidP="00E03082">
      <w:pPr>
        <w:pStyle w:val="ListParagraph"/>
        <w:numPr>
          <w:ilvl w:val="1"/>
          <w:numId w:val="19"/>
        </w:numPr>
        <w:ind w:left="0" w:firstLine="0"/>
        <w:jc w:val="both"/>
        <w:rPr>
          <w:rFonts w:ascii="Times New Roman" w:hAnsi="Times New Roman" w:cs="Times New Roman"/>
          <w:sz w:val="24"/>
          <w:szCs w:val="24"/>
          <w:lang w:val="ro-RO"/>
        </w:rPr>
      </w:pPr>
      <w:r w:rsidRPr="00BA1984">
        <w:rPr>
          <w:rFonts w:ascii="Times New Roman" w:hAnsi="Times New Roman" w:cs="Times New Roman"/>
          <w:sz w:val="24"/>
          <w:szCs w:val="24"/>
          <w:lang w:val="ro-RO"/>
        </w:rPr>
        <w:t>Riscul de credit este considerat ca un rezultat  al proceselor de selecție și hazard moral. Selecția adversă pe piața de creditare se manifestă atunci când împrumuturile cu un grad ridicat al riscului de a nu fi rambursate sun acordate solicitanților. Hazardul moral există pe piața creditelor datorită că, odată ce obțin creditul, clienții să investească în proiecte cu risc mare, ceea ce conduce, în caz de eșec , la imposibilitatea rambursării creditului. Pentru a obține profit, Organizația trebuie să depășească problemele de selecție adversă și hazard moral.</w:t>
      </w:r>
    </w:p>
    <w:p w14:paraId="4FA3FA0B" w14:textId="11A2C10D" w:rsidR="00D91195" w:rsidRPr="00BA1984" w:rsidRDefault="00D91195" w:rsidP="00E03082">
      <w:pPr>
        <w:pStyle w:val="ListParagraph"/>
        <w:numPr>
          <w:ilvl w:val="1"/>
          <w:numId w:val="19"/>
        </w:numPr>
        <w:ind w:left="0" w:firstLine="0"/>
        <w:jc w:val="both"/>
        <w:rPr>
          <w:rFonts w:ascii="Times New Roman" w:hAnsi="Times New Roman" w:cs="Times New Roman"/>
          <w:sz w:val="24"/>
          <w:szCs w:val="24"/>
          <w:lang w:val="ro-RO"/>
        </w:rPr>
      </w:pPr>
      <w:r w:rsidRPr="00BA1984">
        <w:rPr>
          <w:rFonts w:ascii="Times New Roman" w:hAnsi="Times New Roman" w:cs="Times New Roman"/>
          <w:sz w:val="24"/>
          <w:szCs w:val="24"/>
          <w:lang w:val="ro-RO"/>
        </w:rPr>
        <w:t>Riscul de credit prezintă două forme principale</w:t>
      </w:r>
      <w:r w:rsidR="00237E29" w:rsidRPr="00BA1984">
        <w:rPr>
          <w:rFonts w:ascii="Times New Roman" w:hAnsi="Times New Roman" w:cs="Times New Roman"/>
          <w:sz w:val="24"/>
          <w:szCs w:val="24"/>
          <w:lang w:val="ro-RO"/>
        </w:rPr>
        <w:t>:</w:t>
      </w:r>
    </w:p>
    <w:p w14:paraId="05EB0426" w14:textId="76ADF2C2" w:rsidR="00237E29" w:rsidRPr="00237E29" w:rsidRDefault="00237E29" w:rsidP="00E03082">
      <w:pPr>
        <w:pStyle w:val="ListParagraph"/>
        <w:numPr>
          <w:ilvl w:val="2"/>
          <w:numId w:val="19"/>
        </w:numPr>
        <w:ind w:left="0" w:firstLine="0"/>
        <w:jc w:val="both"/>
        <w:rPr>
          <w:rFonts w:ascii="Times New Roman" w:hAnsi="Times New Roman" w:cs="Times New Roman"/>
          <w:sz w:val="24"/>
          <w:szCs w:val="24"/>
          <w:lang w:val="ro-RO"/>
        </w:rPr>
      </w:pPr>
      <w:r w:rsidRPr="00237E29">
        <w:rPr>
          <w:rFonts w:ascii="Times New Roman" w:hAnsi="Times New Roman" w:cs="Times New Roman"/>
          <w:sz w:val="24"/>
          <w:szCs w:val="24"/>
          <w:lang w:val="ro-RO"/>
        </w:rPr>
        <w:t>Riscul de nerambursare – riscul că debitorul să nu dorească sau să fie în imposibilitate de a-și îndeplini condițiile contractuale.</w:t>
      </w:r>
    </w:p>
    <w:p w14:paraId="4032C4A0" w14:textId="7FFBDEB7" w:rsidR="00237E29" w:rsidRDefault="00237E29" w:rsidP="00E03082">
      <w:pPr>
        <w:pStyle w:val="ListParagraph"/>
        <w:numPr>
          <w:ilvl w:val="2"/>
          <w:numId w:val="19"/>
        </w:numPr>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Riscul de </w:t>
      </w:r>
      <w:proofErr w:type="spellStart"/>
      <w:r>
        <w:rPr>
          <w:rFonts w:ascii="Times New Roman" w:hAnsi="Times New Roman" w:cs="Times New Roman"/>
          <w:sz w:val="24"/>
          <w:szCs w:val="24"/>
          <w:lang w:val="ro-RO"/>
        </w:rPr>
        <w:t>spread</w:t>
      </w:r>
      <w:proofErr w:type="spellEnd"/>
      <w:r>
        <w:rPr>
          <w:rFonts w:ascii="Times New Roman" w:hAnsi="Times New Roman" w:cs="Times New Roman"/>
          <w:sz w:val="24"/>
          <w:szCs w:val="24"/>
          <w:lang w:val="ro-RO"/>
        </w:rPr>
        <w:t xml:space="preserve"> – riscul că valoarea de piață a instrumentului de credit să se reducă datorită modificărilor intervenite în bonitatea debitorului.</w:t>
      </w:r>
    </w:p>
    <w:p w14:paraId="7C9C10E2" w14:textId="44219B73" w:rsidR="00237E29" w:rsidRDefault="00237E29" w:rsidP="00E03082">
      <w:pPr>
        <w:pStyle w:val="ListParagraph"/>
        <w:numPr>
          <w:ilvl w:val="1"/>
          <w:numId w:val="19"/>
        </w:numPr>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Modele de risc – clasificare:</w:t>
      </w:r>
    </w:p>
    <w:p w14:paraId="5855594D" w14:textId="49A2E2DD" w:rsidR="00237E29" w:rsidRPr="00237E29" w:rsidRDefault="00237E29" w:rsidP="00E03082">
      <w:pPr>
        <w:pStyle w:val="ListParagraph"/>
        <w:numPr>
          <w:ilvl w:val="2"/>
          <w:numId w:val="19"/>
        </w:numPr>
        <w:ind w:left="0" w:firstLine="0"/>
        <w:jc w:val="both"/>
        <w:rPr>
          <w:rFonts w:ascii="Times New Roman" w:hAnsi="Times New Roman" w:cs="Times New Roman"/>
          <w:sz w:val="24"/>
          <w:szCs w:val="24"/>
          <w:lang w:val="ro-RO"/>
        </w:rPr>
      </w:pPr>
      <w:r w:rsidRPr="00237E29">
        <w:rPr>
          <w:rFonts w:ascii="Times New Roman" w:hAnsi="Times New Roman" w:cs="Times New Roman"/>
          <w:sz w:val="24"/>
          <w:szCs w:val="24"/>
          <w:lang w:val="ro-RO"/>
        </w:rPr>
        <w:t>Modele necondiționate – iau în considerare numai informații despre debitor/instrumentul de credit.</w:t>
      </w:r>
    </w:p>
    <w:p w14:paraId="246B7637" w14:textId="6F08CD85" w:rsidR="00237E29" w:rsidRPr="00237E29" w:rsidRDefault="00237E29" w:rsidP="00E03082">
      <w:pPr>
        <w:pStyle w:val="ListParagraph"/>
        <w:numPr>
          <w:ilvl w:val="2"/>
          <w:numId w:val="19"/>
        </w:numPr>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Modele condiționate – țin cont de informații referitoare la starea economiei (indicatorii macroeconomici </w:t>
      </w:r>
      <w:r w:rsidR="00BC21D8">
        <w:rPr>
          <w:rFonts w:ascii="Times New Roman" w:hAnsi="Times New Roman" w:cs="Times New Roman"/>
          <w:sz w:val="24"/>
          <w:szCs w:val="24"/>
          <w:lang w:val="ro-RO"/>
        </w:rPr>
        <w:t>(</w:t>
      </w:r>
      <w:r>
        <w:rPr>
          <w:rFonts w:ascii="Times New Roman" w:hAnsi="Times New Roman" w:cs="Times New Roman"/>
          <w:sz w:val="24"/>
          <w:szCs w:val="24"/>
          <w:lang w:val="ro-RO"/>
        </w:rPr>
        <w:t xml:space="preserve">rata inflației, indicele prețului de consum, rata de schimb, deprecierea sau aprecierea monedei naționale, </w:t>
      </w:r>
      <w:r w:rsidR="00BC21D8">
        <w:rPr>
          <w:rFonts w:ascii="Times New Roman" w:hAnsi="Times New Roman" w:cs="Times New Roman"/>
          <w:sz w:val="24"/>
          <w:szCs w:val="24"/>
          <w:lang w:val="ro-RO"/>
        </w:rPr>
        <w:t xml:space="preserve">rata șomajului, ratele de dobândă, cursurilor acțiunilor, situația economică a sectoarelor economice, </w:t>
      </w:r>
      <w:r>
        <w:rPr>
          <w:rFonts w:ascii="Times New Roman" w:hAnsi="Times New Roman" w:cs="Times New Roman"/>
          <w:sz w:val="24"/>
          <w:szCs w:val="24"/>
          <w:lang w:val="ro-RO"/>
        </w:rPr>
        <w:t>ș.a.)</w:t>
      </w:r>
    </w:p>
    <w:p w14:paraId="6BC8042A" w14:textId="14500F23" w:rsidR="003A3A9D" w:rsidRPr="00237E29" w:rsidRDefault="00BA1984" w:rsidP="00237E29">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5.4 </w:t>
      </w:r>
      <w:r w:rsidR="00237E29">
        <w:rPr>
          <w:rFonts w:ascii="Times New Roman" w:hAnsi="Times New Roman" w:cs="Times New Roman"/>
          <w:sz w:val="24"/>
          <w:szCs w:val="24"/>
          <w:lang w:val="ro-RO"/>
        </w:rPr>
        <w:t xml:space="preserve"> </w:t>
      </w:r>
      <w:r w:rsidR="003A3A9D" w:rsidRPr="00237E29">
        <w:rPr>
          <w:rFonts w:ascii="Times New Roman" w:hAnsi="Times New Roman" w:cs="Times New Roman"/>
          <w:sz w:val="24"/>
          <w:szCs w:val="24"/>
          <w:lang w:val="ro-RO"/>
        </w:rPr>
        <w:t>Analiza por</w:t>
      </w:r>
      <w:bookmarkStart w:id="0" w:name="_GoBack"/>
      <w:bookmarkEnd w:id="0"/>
      <w:r w:rsidR="003A3A9D" w:rsidRPr="00237E29">
        <w:rPr>
          <w:rFonts w:ascii="Times New Roman" w:hAnsi="Times New Roman" w:cs="Times New Roman"/>
          <w:sz w:val="24"/>
          <w:szCs w:val="24"/>
          <w:lang w:val="ro-RO"/>
        </w:rPr>
        <w:t>tofoliului de credite și constituirea de provizioane este o etapă fundamentală în gestionarea riscului de credit care urmează procesului de acordare a creditelor și vizează constituirea de resurse pentru acoperirea pierderilor care apar la portofoliul de credite.</w:t>
      </w:r>
    </w:p>
    <w:p w14:paraId="7ED4A4A8" w14:textId="565D729C" w:rsidR="000648CA" w:rsidRPr="00BA1984" w:rsidRDefault="000648CA" w:rsidP="00E03082">
      <w:pPr>
        <w:pStyle w:val="ListParagraph"/>
        <w:numPr>
          <w:ilvl w:val="1"/>
          <w:numId w:val="20"/>
        </w:numPr>
        <w:tabs>
          <w:tab w:val="left" w:pos="426"/>
        </w:tabs>
        <w:ind w:left="0" w:firstLine="0"/>
        <w:jc w:val="both"/>
        <w:rPr>
          <w:rFonts w:ascii="Times New Roman" w:hAnsi="Times New Roman" w:cs="Times New Roman"/>
          <w:sz w:val="24"/>
          <w:szCs w:val="24"/>
          <w:lang w:val="ro-RO"/>
        </w:rPr>
      </w:pPr>
      <w:r w:rsidRPr="00BA1984">
        <w:rPr>
          <w:rFonts w:ascii="Times New Roman" w:hAnsi="Times New Roman" w:cs="Times New Roman"/>
          <w:sz w:val="24"/>
          <w:szCs w:val="24"/>
          <w:lang w:val="ro-RO"/>
        </w:rPr>
        <w:t>Clasificarea împrumuturilor acordate pentru constituirea provizioanelor este efectuată conform Hotărârii Nr.11/1 din 14.03.2012 cu privire la aprobarea Regulamentului cu privire la clasificarea împrumuturilor acordate și dobânzilor calculate de organizațiile de micro finanțare, aprobat de CNPF, și alte acte normative în vigoare.</w:t>
      </w:r>
    </w:p>
    <w:p w14:paraId="3EBDB732" w14:textId="77777777" w:rsidR="000648CA" w:rsidRPr="00F11F76" w:rsidRDefault="000648CA" w:rsidP="00E03082">
      <w:pPr>
        <w:pStyle w:val="ListParagraph"/>
        <w:numPr>
          <w:ilvl w:val="1"/>
          <w:numId w:val="20"/>
        </w:numPr>
        <w:tabs>
          <w:tab w:val="left" w:pos="426"/>
        </w:tabs>
        <w:ind w:left="0" w:firstLine="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Organizația clasifică împrumuturile și dobânzile aferente cel puțin trimestrial la ultima dată a perioadei gestionare.</w:t>
      </w:r>
    </w:p>
    <w:p w14:paraId="0F29BDE0" w14:textId="77777777" w:rsidR="000648CA" w:rsidRPr="00F11F76" w:rsidRDefault="000648CA" w:rsidP="00E03082">
      <w:pPr>
        <w:pStyle w:val="ListParagraph"/>
        <w:numPr>
          <w:ilvl w:val="1"/>
          <w:numId w:val="20"/>
        </w:numPr>
        <w:tabs>
          <w:tab w:val="left" w:pos="426"/>
        </w:tabs>
        <w:ind w:left="0" w:firstLine="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Împrumuturile noi se clasifică la momentul constatării acestora ca activ în bilanțul Organizației.</w:t>
      </w:r>
    </w:p>
    <w:p w14:paraId="4F660381" w14:textId="77777777" w:rsidR="000648CA" w:rsidRPr="00F11F76" w:rsidRDefault="000648CA" w:rsidP="00E03082">
      <w:pPr>
        <w:pStyle w:val="ListParagraph"/>
        <w:numPr>
          <w:ilvl w:val="1"/>
          <w:numId w:val="20"/>
        </w:numPr>
        <w:tabs>
          <w:tab w:val="left" w:pos="426"/>
        </w:tabs>
        <w:ind w:left="0" w:firstLine="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Ajustarea mărimii provizioanelor pentru pierderi din împrumuturi până la nivelul necesar se efectuează în volum integral din contul cheltuielilor sau veniturilor și se reflectă în bilanțul contabil și în raportul privind rezultatele financiare ale organizațiile.</w:t>
      </w:r>
    </w:p>
    <w:p w14:paraId="17A1507F" w14:textId="77777777" w:rsidR="000648CA" w:rsidRPr="00F11F76" w:rsidRDefault="000648CA" w:rsidP="00E03082">
      <w:pPr>
        <w:pStyle w:val="ListParagraph"/>
        <w:numPr>
          <w:ilvl w:val="1"/>
          <w:numId w:val="20"/>
        </w:numPr>
        <w:tabs>
          <w:tab w:val="left" w:pos="426"/>
        </w:tabs>
        <w:ind w:left="0" w:firstLine="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 xml:space="preserve">Provizioanele se utilizează pentru acoperirea împrumuturilor și dobânzilor clasificate ( compromise ) Scoaterea lor din bilanț ( casarea ) și înregistrarea în contul extra bilanțier se efectuează la decizia </w:t>
      </w:r>
      <w:r>
        <w:rPr>
          <w:rFonts w:ascii="Times New Roman" w:hAnsi="Times New Roman" w:cs="Times New Roman"/>
          <w:sz w:val="24"/>
          <w:szCs w:val="24"/>
          <w:lang w:val="ro-RO"/>
        </w:rPr>
        <w:t>administratorului</w:t>
      </w:r>
      <w:r w:rsidRPr="00F11F76">
        <w:rPr>
          <w:rFonts w:ascii="Times New Roman" w:hAnsi="Times New Roman" w:cs="Times New Roman"/>
          <w:sz w:val="24"/>
          <w:szCs w:val="24"/>
          <w:lang w:val="ro-RO"/>
        </w:rPr>
        <w:t>, fapt care nu anulează datoria împrumutatului și</w:t>
      </w:r>
      <w:r>
        <w:rPr>
          <w:rFonts w:ascii="Times New Roman" w:hAnsi="Times New Roman" w:cs="Times New Roman"/>
          <w:sz w:val="24"/>
          <w:szCs w:val="24"/>
          <w:lang w:val="ro-RO"/>
        </w:rPr>
        <w:t xml:space="preserve"> nu denotă că organizația nu poa</w:t>
      </w:r>
      <w:r w:rsidRPr="00F11F76">
        <w:rPr>
          <w:rFonts w:ascii="Times New Roman" w:hAnsi="Times New Roman" w:cs="Times New Roman"/>
          <w:sz w:val="24"/>
          <w:szCs w:val="24"/>
          <w:lang w:val="ro-RO"/>
        </w:rPr>
        <w:t>te să își exercite și în continuare dreptul legal deplin pentru a satisface pretențiile aferente datoriei respective.</w:t>
      </w:r>
    </w:p>
    <w:p w14:paraId="2299C971" w14:textId="77777777" w:rsidR="000648CA" w:rsidRPr="00F11F76" w:rsidRDefault="000648CA" w:rsidP="00E03082">
      <w:pPr>
        <w:pStyle w:val="ListParagraph"/>
        <w:numPr>
          <w:ilvl w:val="1"/>
          <w:numId w:val="20"/>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lastRenderedPageBreak/>
        <w:t>Orice împrumut acordat și dobânda aferentă vor fi incluse in una din următoarele categorii de clasificare:</w:t>
      </w:r>
    </w:p>
    <w:p w14:paraId="00D1BB76" w14:textId="77777777" w:rsidR="000648CA" w:rsidRPr="00F11F76" w:rsidRDefault="000648CA" w:rsidP="00E03082">
      <w:pPr>
        <w:pStyle w:val="ListParagraph"/>
        <w:numPr>
          <w:ilvl w:val="0"/>
          <w:numId w:val="4"/>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Standard – împrumut la care sânt respectate toate condițiile contractuale, care nu are plăți expirate și care nu a fost prelungit și sau renegociat.</w:t>
      </w:r>
    </w:p>
    <w:p w14:paraId="09115551" w14:textId="77777777" w:rsidR="000648CA" w:rsidRPr="00F11F76" w:rsidRDefault="000648CA" w:rsidP="00E03082">
      <w:pPr>
        <w:pStyle w:val="ListParagraph"/>
        <w:numPr>
          <w:ilvl w:val="0"/>
          <w:numId w:val="4"/>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Supravegheat – împrumut la care plățile sunt expirate de la 31 până la 90 zile inclusiv</w:t>
      </w:r>
    </w:p>
    <w:p w14:paraId="7902C7C9" w14:textId="77777777" w:rsidR="000648CA" w:rsidRPr="00F11F76" w:rsidRDefault="000648CA" w:rsidP="00E03082">
      <w:pPr>
        <w:pStyle w:val="ListParagraph"/>
        <w:numPr>
          <w:ilvl w:val="0"/>
          <w:numId w:val="4"/>
        </w:numPr>
        <w:jc w:val="both"/>
        <w:rPr>
          <w:rFonts w:ascii="Times New Roman" w:hAnsi="Times New Roman" w:cs="Times New Roman"/>
          <w:sz w:val="24"/>
          <w:szCs w:val="24"/>
          <w:lang w:val="ro-RO"/>
        </w:rPr>
      </w:pPr>
      <w:proofErr w:type="spellStart"/>
      <w:r w:rsidRPr="00F11F76">
        <w:rPr>
          <w:rFonts w:ascii="Times New Roman" w:hAnsi="Times New Roman" w:cs="Times New Roman"/>
          <w:sz w:val="24"/>
          <w:szCs w:val="24"/>
          <w:lang w:val="ro-RO"/>
        </w:rPr>
        <w:t>Substandard</w:t>
      </w:r>
      <w:proofErr w:type="spellEnd"/>
      <w:r w:rsidRPr="00F11F76">
        <w:rPr>
          <w:rFonts w:ascii="Times New Roman" w:hAnsi="Times New Roman" w:cs="Times New Roman"/>
          <w:sz w:val="24"/>
          <w:szCs w:val="24"/>
          <w:lang w:val="ro-RO"/>
        </w:rPr>
        <w:t xml:space="preserve"> - împrumut la care plățile sunt expirate de la 91 până la 180 zile inclusiv</w:t>
      </w:r>
    </w:p>
    <w:p w14:paraId="7AB75AAC" w14:textId="77777777" w:rsidR="000648CA" w:rsidRPr="00F11F76" w:rsidRDefault="000648CA" w:rsidP="00E03082">
      <w:pPr>
        <w:pStyle w:val="ListParagraph"/>
        <w:numPr>
          <w:ilvl w:val="0"/>
          <w:numId w:val="4"/>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Dubios - împrumut la care plățile sunt expirate de la 181 până la 360 zile inclusiv</w:t>
      </w:r>
    </w:p>
    <w:p w14:paraId="671E6940" w14:textId="77777777" w:rsidR="000648CA" w:rsidRPr="00F11F76" w:rsidRDefault="000648CA" w:rsidP="00E03082">
      <w:pPr>
        <w:pStyle w:val="ListParagraph"/>
        <w:numPr>
          <w:ilvl w:val="0"/>
          <w:numId w:val="4"/>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Compromis - împrumut la care plățile sunt expirate mai mult de 361 de zile.</w:t>
      </w:r>
    </w:p>
    <w:p w14:paraId="14B8A454" w14:textId="77777777" w:rsidR="000648CA" w:rsidRPr="00F11F76" w:rsidRDefault="000648CA" w:rsidP="00E03082">
      <w:pPr>
        <w:pStyle w:val="ListParagraph"/>
        <w:numPr>
          <w:ilvl w:val="1"/>
          <w:numId w:val="20"/>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Clasificarea împrumuturilor se efectuează conform următorului tabel</w:t>
      </w:r>
    </w:p>
    <w:tbl>
      <w:tblPr>
        <w:tblStyle w:val="TableGrid"/>
        <w:tblW w:w="0" w:type="auto"/>
        <w:tblInd w:w="540" w:type="dxa"/>
        <w:tblLook w:val="04A0" w:firstRow="1" w:lastRow="0" w:firstColumn="1" w:lastColumn="0" w:noHBand="0" w:noVBand="1"/>
      </w:tblPr>
      <w:tblGrid>
        <w:gridCol w:w="3135"/>
        <w:gridCol w:w="776"/>
      </w:tblGrid>
      <w:tr w:rsidR="000648CA" w:rsidRPr="00F11F76" w14:paraId="2EA2A894" w14:textId="77777777" w:rsidTr="00612148">
        <w:trPr>
          <w:trHeight w:val="304"/>
        </w:trPr>
        <w:tc>
          <w:tcPr>
            <w:tcW w:w="3135" w:type="dxa"/>
          </w:tcPr>
          <w:p w14:paraId="0A84E975" w14:textId="77777777" w:rsidR="000648CA" w:rsidRPr="00F11F76" w:rsidRDefault="000648CA" w:rsidP="00E03082">
            <w:pPr>
              <w:pStyle w:val="ListParagraph"/>
              <w:numPr>
                <w:ilvl w:val="0"/>
                <w:numId w:val="5"/>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Standard</w:t>
            </w:r>
          </w:p>
        </w:tc>
        <w:tc>
          <w:tcPr>
            <w:tcW w:w="273" w:type="dxa"/>
          </w:tcPr>
          <w:p w14:paraId="27FCF729" w14:textId="77777777" w:rsidR="000648CA" w:rsidRPr="00F11F76" w:rsidRDefault="000648CA" w:rsidP="00612148">
            <w:pPr>
              <w:pStyle w:val="ListParagraph"/>
              <w:ind w:left="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2%</w:t>
            </w:r>
          </w:p>
        </w:tc>
      </w:tr>
      <w:tr w:rsidR="000648CA" w:rsidRPr="00F11F76" w14:paraId="5325FDD6" w14:textId="77777777" w:rsidTr="00612148">
        <w:trPr>
          <w:trHeight w:val="304"/>
        </w:trPr>
        <w:tc>
          <w:tcPr>
            <w:tcW w:w="3135" w:type="dxa"/>
          </w:tcPr>
          <w:p w14:paraId="3129F096" w14:textId="77777777" w:rsidR="000648CA" w:rsidRPr="00F11F76" w:rsidRDefault="000648CA" w:rsidP="00E03082">
            <w:pPr>
              <w:pStyle w:val="ListParagraph"/>
              <w:numPr>
                <w:ilvl w:val="0"/>
                <w:numId w:val="5"/>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Supravegheat</w:t>
            </w:r>
          </w:p>
        </w:tc>
        <w:tc>
          <w:tcPr>
            <w:tcW w:w="273" w:type="dxa"/>
          </w:tcPr>
          <w:p w14:paraId="30FF7486" w14:textId="77777777" w:rsidR="000648CA" w:rsidRPr="00F11F76" w:rsidRDefault="000648CA" w:rsidP="00612148">
            <w:pPr>
              <w:pStyle w:val="ListParagraph"/>
              <w:ind w:left="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5%</w:t>
            </w:r>
          </w:p>
        </w:tc>
      </w:tr>
      <w:tr w:rsidR="000648CA" w:rsidRPr="00F11F76" w14:paraId="25BC0850" w14:textId="77777777" w:rsidTr="00612148">
        <w:trPr>
          <w:trHeight w:val="317"/>
        </w:trPr>
        <w:tc>
          <w:tcPr>
            <w:tcW w:w="3135" w:type="dxa"/>
          </w:tcPr>
          <w:p w14:paraId="7387EDAE" w14:textId="77777777" w:rsidR="000648CA" w:rsidRPr="00F11F76" w:rsidRDefault="000648CA" w:rsidP="00E03082">
            <w:pPr>
              <w:pStyle w:val="ListParagraph"/>
              <w:numPr>
                <w:ilvl w:val="0"/>
                <w:numId w:val="5"/>
              </w:numPr>
              <w:jc w:val="both"/>
              <w:rPr>
                <w:rFonts w:ascii="Times New Roman" w:hAnsi="Times New Roman" w:cs="Times New Roman"/>
                <w:sz w:val="24"/>
                <w:szCs w:val="24"/>
                <w:lang w:val="ro-RO"/>
              </w:rPr>
            </w:pPr>
            <w:proofErr w:type="spellStart"/>
            <w:r w:rsidRPr="00F11F76">
              <w:rPr>
                <w:rFonts w:ascii="Times New Roman" w:hAnsi="Times New Roman" w:cs="Times New Roman"/>
                <w:sz w:val="24"/>
                <w:szCs w:val="24"/>
                <w:lang w:val="ro-RO"/>
              </w:rPr>
              <w:t>Substandard</w:t>
            </w:r>
            <w:proofErr w:type="spellEnd"/>
          </w:p>
        </w:tc>
        <w:tc>
          <w:tcPr>
            <w:tcW w:w="273" w:type="dxa"/>
          </w:tcPr>
          <w:p w14:paraId="40B61E7A" w14:textId="77777777" w:rsidR="000648CA" w:rsidRPr="00F11F76" w:rsidRDefault="000648CA" w:rsidP="00612148">
            <w:pPr>
              <w:pStyle w:val="ListParagraph"/>
              <w:ind w:left="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30%</w:t>
            </w:r>
          </w:p>
        </w:tc>
      </w:tr>
      <w:tr w:rsidR="000648CA" w:rsidRPr="00F11F76" w14:paraId="259D0CCF" w14:textId="77777777" w:rsidTr="00612148">
        <w:trPr>
          <w:trHeight w:val="304"/>
        </w:trPr>
        <w:tc>
          <w:tcPr>
            <w:tcW w:w="3135" w:type="dxa"/>
          </w:tcPr>
          <w:p w14:paraId="39979E4F" w14:textId="77777777" w:rsidR="000648CA" w:rsidRPr="00F11F76" w:rsidRDefault="000648CA" w:rsidP="00E03082">
            <w:pPr>
              <w:pStyle w:val="ListParagraph"/>
              <w:numPr>
                <w:ilvl w:val="0"/>
                <w:numId w:val="5"/>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Dubios</w:t>
            </w:r>
          </w:p>
        </w:tc>
        <w:tc>
          <w:tcPr>
            <w:tcW w:w="273" w:type="dxa"/>
          </w:tcPr>
          <w:p w14:paraId="08A10DDA" w14:textId="77777777" w:rsidR="000648CA" w:rsidRPr="00F11F76" w:rsidRDefault="000648CA" w:rsidP="00612148">
            <w:pPr>
              <w:pStyle w:val="ListParagraph"/>
              <w:ind w:left="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60%</w:t>
            </w:r>
          </w:p>
        </w:tc>
      </w:tr>
      <w:tr w:rsidR="000648CA" w:rsidRPr="00F11F76" w14:paraId="0147A490" w14:textId="77777777" w:rsidTr="00612148">
        <w:trPr>
          <w:trHeight w:val="304"/>
        </w:trPr>
        <w:tc>
          <w:tcPr>
            <w:tcW w:w="3135" w:type="dxa"/>
          </w:tcPr>
          <w:p w14:paraId="150125E9" w14:textId="77777777" w:rsidR="000648CA" w:rsidRPr="00F11F76" w:rsidRDefault="000648CA" w:rsidP="00E03082">
            <w:pPr>
              <w:pStyle w:val="ListParagraph"/>
              <w:numPr>
                <w:ilvl w:val="0"/>
                <w:numId w:val="5"/>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Compromis</w:t>
            </w:r>
          </w:p>
        </w:tc>
        <w:tc>
          <w:tcPr>
            <w:tcW w:w="273" w:type="dxa"/>
          </w:tcPr>
          <w:p w14:paraId="681824C6" w14:textId="77777777" w:rsidR="000648CA" w:rsidRPr="00F11F76" w:rsidRDefault="000648CA" w:rsidP="00612148">
            <w:pPr>
              <w:pStyle w:val="ListParagraph"/>
              <w:ind w:left="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100%</w:t>
            </w:r>
          </w:p>
        </w:tc>
      </w:tr>
    </w:tbl>
    <w:p w14:paraId="3480D99E" w14:textId="77777777" w:rsidR="000648CA" w:rsidRPr="00F11F76" w:rsidRDefault="000648CA" w:rsidP="000648CA">
      <w:pPr>
        <w:pStyle w:val="ListParagraph"/>
        <w:ind w:left="540"/>
        <w:jc w:val="both"/>
        <w:rPr>
          <w:rFonts w:ascii="Times New Roman" w:hAnsi="Times New Roman" w:cs="Times New Roman"/>
          <w:sz w:val="24"/>
          <w:szCs w:val="24"/>
          <w:lang w:val="ro-RO"/>
        </w:rPr>
      </w:pPr>
    </w:p>
    <w:p w14:paraId="4E2949CE" w14:textId="77777777" w:rsidR="000648CA" w:rsidRPr="00F11F76" w:rsidRDefault="000648CA" w:rsidP="00E03082">
      <w:pPr>
        <w:pStyle w:val="ListParagraph"/>
        <w:numPr>
          <w:ilvl w:val="1"/>
          <w:numId w:val="20"/>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Prelungirea și renegocierea unui împrumut nu poate să determine clasificarea acestuia într-o categorie mai bună decât cea care a fost la data prelungirii sau renegocierii.</w:t>
      </w:r>
    </w:p>
    <w:p w14:paraId="0334AD32" w14:textId="77777777" w:rsidR="000648CA" w:rsidRPr="00F11F76" w:rsidRDefault="000648CA" w:rsidP="00E03082">
      <w:pPr>
        <w:pStyle w:val="ListParagraph"/>
        <w:numPr>
          <w:ilvl w:val="1"/>
          <w:numId w:val="20"/>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Obiectivele organizației privind revizuirea internă a portofoliului de credite se realizează prin următoarele activități:</w:t>
      </w:r>
    </w:p>
    <w:p w14:paraId="16E514E8" w14:textId="77777777" w:rsidR="000648CA" w:rsidRPr="00F11F76" w:rsidRDefault="000648CA" w:rsidP="00E03082">
      <w:pPr>
        <w:pStyle w:val="ListParagraph"/>
        <w:numPr>
          <w:ilvl w:val="0"/>
          <w:numId w:val="3"/>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Informarea operativă referitor la situația curentă a portofoliului de credite.</w:t>
      </w:r>
    </w:p>
    <w:p w14:paraId="6D5FD588" w14:textId="77777777" w:rsidR="000648CA" w:rsidRPr="00F11F76" w:rsidRDefault="000648CA" w:rsidP="00E03082">
      <w:pPr>
        <w:pStyle w:val="ListParagraph"/>
        <w:numPr>
          <w:ilvl w:val="0"/>
          <w:numId w:val="3"/>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Evaluarea zilnică de către reprezentanții organizației a tendințelor pozitive sau negative ale parametrilor calitativi și cantitativi ai portofoliului de credite</w:t>
      </w:r>
    </w:p>
    <w:p w14:paraId="108FBDAB" w14:textId="77777777" w:rsidR="000648CA" w:rsidRPr="00F11F76" w:rsidRDefault="000648CA" w:rsidP="00E03082">
      <w:pPr>
        <w:pStyle w:val="ListParagraph"/>
        <w:numPr>
          <w:ilvl w:val="0"/>
          <w:numId w:val="3"/>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 xml:space="preserve">Identificarea de către </w:t>
      </w:r>
      <w:r>
        <w:rPr>
          <w:rFonts w:ascii="Times New Roman" w:hAnsi="Times New Roman" w:cs="Times New Roman"/>
          <w:sz w:val="24"/>
          <w:szCs w:val="24"/>
          <w:lang w:val="ro-RO"/>
        </w:rPr>
        <w:t>experții</w:t>
      </w:r>
      <w:r w:rsidRPr="00F11F76">
        <w:rPr>
          <w:rFonts w:ascii="Times New Roman" w:hAnsi="Times New Roman" w:cs="Times New Roman"/>
          <w:sz w:val="24"/>
          <w:szCs w:val="24"/>
          <w:lang w:val="ro-RO"/>
        </w:rPr>
        <w:t xml:space="preserve"> organizației a creditelor problematice, transmiterea oportună a acestora în gestionarea organizațiilor cu profil de colectare a datoriilor</w:t>
      </w:r>
    </w:p>
    <w:p w14:paraId="756BF4F4" w14:textId="77777777" w:rsidR="000648CA" w:rsidRPr="00F11F76" w:rsidRDefault="000648CA" w:rsidP="00E03082">
      <w:pPr>
        <w:pStyle w:val="ListParagraph"/>
        <w:numPr>
          <w:ilvl w:val="0"/>
          <w:numId w:val="3"/>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Formarea reducerilor pentru pierderi la credite și provizioanelor pentru pierderi la angajamente condiționale în concordanță cu clasificarea creditelor și angajamentelor condiționale, calculate.</w:t>
      </w:r>
    </w:p>
    <w:p w14:paraId="49A11872" w14:textId="32C8D702" w:rsidR="000648CA" w:rsidRPr="00F11F76" w:rsidRDefault="000648CA" w:rsidP="00E03082">
      <w:pPr>
        <w:pStyle w:val="ListParagraph"/>
        <w:numPr>
          <w:ilvl w:val="0"/>
          <w:numId w:val="3"/>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 xml:space="preserve">Efectuarea de către </w:t>
      </w:r>
      <w:r w:rsidR="00BC21D8">
        <w:rPr>
          <w:rFonts w:ascii="Times New Roman" w:hAnsi="Times New Roman" w:cs="Times New Roman"/>
          <w:sz w:val="24"/>
          <w:szCs w:val="24"/>
          <w:lang w:val="ro-RO"/>
        </w:rPr>
        <w:t>companiile</w:t>
      </w:r>
      <w:r w:rsidRPr="00F11F76">
        <w:rPr>
          <w:rFonts w:ascii="Times New Roman" w:hAnsi="Times New Roman" w:cs="Times New Roman"/>
          <w:sz w:val="24"/>
          <w:szCs w:val="24"/>
          <w:lang w:val="ro-RO"/>
        </w:rPr>
        <w:t xml:space="preserve"> de </w:t>
      </w:r>
      <w:r w:rsidR="00BC21D8">
        <w:rPr>
          <w:rFonts w:ascii="Times New Roman" w:hAnsi="Times New Roman" w:cs="Times New Roman"/>
          <w:sz w:val="24"/>
          <w:szCs w:val="24"/>
          <w:lang w:val="ro-RO"/>
        </w:rPr>
        <w:t>a</w:t>
      </w:r>
      <w:r w:rsidRPr="00F11F76">
        <w:rPr>
          <w:rFonts w:ascii="Times New Roman" w:hAnsi="Times New Roman" w:cs="Times New Roman"/>
          <w:sz w:val="24"/>
          <w:szCs w:val="24"/>
          <w:lang w:val="ro-RO"/>
        </w:rPr>
        <w:t>udit a controlului</w:t>
      </w:r>
      <w:r w:rsidR="00BC21D8">
        <w:rPr>
          <w:rFonts w:ascii="Times New Roman" w:hAnsi="Times New Roman" w:cs="Times New Roman"/>
          <w:sz w:val="24"/>
          <w:szCs w:val="24"/>
          <w:lang w:val="ro-RO"/>
        </w:rPr>
        <w:t xml:space="preserve"> </w:t>
      </w:r>
      <w:r w:rsidR="00744225">
        <w:rPr>
          <w:rFonts w:ascii="Times New Roman" w:hAnsi="Times New Roman" w:cs="Times New Roman"/>
          <w:sz w:val="24"/>
          <w:szCs w:val="24"/>
          <w:lang w:val="ro-RO"/>
        </w:rPr>
        <w:t>în conformitate cu</w:t>
      </w:r>
      <w:r w:rsidR="00BC21D8">
        <w:rPr>
          <w:rFonts w:ascii="Times New Roman" w:hAnsi="Times New Roman" w:cs="Times New Roman"/>
          <w:sz w:val="24"/>
          <w:szCs w:val="24"/>
          <w:lang w:val="ro-RO"/>
        </w:rPr>
        <w:t xml:space="preserve"> legislați</w:t>
      </w:r>
      <w:r w:rsidR="00744225">
        <w:rPr>
          <w:rFonts w:ascii="Times New Roman" w:hAnsi="Times New Roman" w:cs="Times New Roman"/>
          <w:sz w:val="24"/>
          <w:szCs w:val="24"/>
          <w:lang w:val="ro-RO"/>
        </w:rPr>
        <w:t>a în vigoare</w:t>
      </w:r>
      <w:r w:rsidR="00BC21D8">
        <w:rPr>
          <w:rFonts w:ascii="Times New Roman" w:hAnsi="Times New Roman" w:cs="Times New Roman"/>
          <w:sz w:val="24"/>
          <w:szCs w:val="24"/>
          <w:lang w:val="ro-RO"/>
        </w:rPr>
        <w:t xml:space="preserve"> și/sau</w:t>
      </w:r>
      <w:r w:rsidRPr="00F11F76">
        <w:rPr>
          <w:rFonts w:ascii="Times New Roman" w:hAnsi="Times New Roman" w:cs="Times New Roman"/>
          <w:sz w:val="24"/>
          <w:szCs w:val="24"/>
          <w:lang w:val="ro-RO"/>
        </w:rPr>
        <w:t xml:space="preserve"> </w:t>
      </w:r>
      <w:r w:rsidR="00BC21D8" w:rsidRPr="00F11F76">
        <w:rPr>
          <w:rFonts w:ascii="Times New Roman" w:hAnsi="Times New Roman" w:cs="Times New Roman"/>
          <w:sz w:val="24"/>
          <w:szCs w:val="24"/>
          <w:lang w:val="ro-RO"/>
        </w:rPr>
        <w:t xml:space="preserve">la </w:t>
      </w:r>
      <w:r w:rsidR="00BC21D8">
        <w:rPr>
          <w:rFonts w:ascii="Times New Roman" w:hAnsi="Times New Roman" w:cs="Times New Roman"/>
          <w:sz w:val="24"/>
          <w:szCs w:val="24"/>
          <w:lang w:val="ro-RO"/>
        </w:rPr>
        <w:t>ne</w:t>
      </w:r>
      <w:r w:rsidR="00BC21D8" w:rsidRPr="00F11F76">
        <w:rPr>
          <w:rFonts w:ascii="Times New Roman" w:hAnsi="Times New Roman" w:cs="Times New Roman"/>
          <w:sz w:val="24"/>
          <w:szCs w:val="24"/>
          <w:lang w:val="ro-RO"/>
        </w:rPr>
        <w:t>cesitate</w:t>
      </w:r>
      <w:r w:rsidR="00744225">
        <w:rPr>
          <w:rFonts w:ascii="Times New Roman" w:hAnsi="Times New Roman" w:cs="Times New Roman"/>
          <w:sz w:val="24"/>
          <w:szCs w:val="24"/>
          <w:lang w:val="ro-RO"/>
        </w:rPr>
        <w:t>,</w:t>
      </w:r>
      <w:r w:rsidR="00BC21D8" w:rsidRPr="00F11F76">
        <w:rPr>
          <w:rFonts w:ascii="Times New Roman" w:hAnsi="Times New Roman" w:cs="Times New Roman"/>
          <w:sz w:val="24"/>
          <w:szCs w:val="24"/>
          <w:lang w:val="ro-RO"/>
        </w:rPr>
        <w:t xml:space="preserve"> </w:t>
      </w:r>
      <w:r w:rsidRPr="00F11F76">
        <w:rPr>
          <w:rFonts w:ascii="Times New Roman" w:hAnsi="Times New Roman" w:cs="Times New Roman"/>
          <w:sz w:val="24"/>
          <w:szCs w:val="24"/>
          <w:lang w:val="ro-RO"/>
        </w:rPr>
        <w:t xml:space="preserve">privind executarea adecvată a regulamentelor Organizației și </w:t>
      </w:r>
      <w:r w:rsidR="00744225">
        <w:rPr>
          <w:rFonts w:ascii="Times New Roman" w:hAnsi="Times New Roman" w:cs="Times New Roman"/>
          <w:sz w:val="24"/>
          <w:szCs w:val="24"/>
          <w:lang w:val="ro-RO"/>
        </w:rPr>
        <w:t>actelor normative ce reglementează activitatea organizațiilor de creditare nebancară.</w:t>
      </w:r>
    </w:p>
    <w:p w14:paraId="0E71913B" w14:textId="77777777" w:rsidR="00205448" w:rsidRPr="00433698" w:rsidRDefault="00205448" w:rsidP="00433698">
      <w:pPr>
        <w:jc w:val="both"/>
        <w:rPr>
          <w:rFonts w:ascii="Times New Roman" w:hAnsi="Times New Roman" w:cs="Times New Roman"/>
          <w:sz w:val="24"/>
          <w:szCs w:val="24"/>
          <w:lang w:val="ro-RO"/>
        </w:rPr>
      </w:pPr>
    </w:p>
    <w:p w14:paraId="35DD4014" w14:textId="77777777" w:rsidR="00205448" w:rsidRPr="0061249B" w:rsidRDefault="00205448" w:rsidP="00E03082">
      <w:pPr>
        <w:pStyle w:val="Heading1"/>
        <w:numPr>
          <w:ilvl w:val="0"/>
          <w:numId w:val="20"/>
        </w:numPr>
        <w:rPr>
          <w:rFonts w:cs="Times New Roman"/>
          <w:b/>
          <w:sz w:val="24"/>
          <w:szCs w:val="24"/>
          <w:lang w:val="ro-RO"/>
        </w:rPr>
      </w:pPr>
      <w:r w:rsidRPr="0061249B">
        <w:rPr>
          <w:rFonts w:cs="Times New Roman"/>
          <w:b/>
          <w:sz w:val="24"/>
          <w:szCs w:val="24"/>
          <w:lang w:val="ro-RO"/>
        </w:rPr>
        <w:t>Identificarea</w:t>
      </w:r>
      <w:r w:rsidR="004905CA" w:rsidRPr="0061249B">
        <w:rPr>
          <w:rFonts w:cs="Times New Roman"/>
          <w:b/>
          <w:sz w:val="24"/>
          <w:szCs w:val="24"/>
          <w:lang w:val="ro-RO"/>
        </w:rPr>
        <w:t>, evaluarea și minimizarea</w:t>
      </w:r>
      <w:r w:rsidRPr="0061249B">
        <w:rPr>
          <w:rFonts w:cs="Times New Roman"/>
          <w:b/>
          <w:sz w:val="24"/>
          <w:szCs w:val="24"/>
          <w:lang w:val="ro-RO"/>
        </w:rPr>
        <w:t xml:space="preserve"> riscurilor de spălare a banilor și de finanțare a terorismului</w:t>
      </w:r>
    </w:p>
    <w:p w14:paraId="03F00939" w14:textId="22AAF22E" w:rsidR="00205448" w:rsidRPr="00BA1984" w:rsidRDefault="00205448" w:rsidP="00E03082">
      <w:pPr>
        <w:pStyle w:val="ListParagraph"/>
        <w:numPr>
          <w:ilvl w:val="1"/>
          <w:numId w:val="21"/>
        </w:numPr>
        <w:jc w:val="both"/>
        <w:rPr>
          <w:rFonts w:ascii="Times New Roman" w:hAnsi="Times New Roman" w:cs="Times New Roman"/>
          <w:sz w:val="24"/>
          <w:szCs w:val="24"/>
          <w:lang w:val="ro-RO"/>
        </w:rPr>
      </w:pPr>
      <w:r w:rsidRPr="00BA1984">
        <w:rPr>
          <w:rFonts w:ascii="Times New Roman" w:hAnsi="Times New Roman" w:cs="Times New Roman"/>
          <w:sz w:val="24"/>
          <w:szCs w:val="24"/>
          <w:lang w:val="ro-RO"/>
        </w:rPr>
        <w:t>În cadrul procedurilor de acceptare a clienților, Organizația aplică abordarea bazată pe risc</w:t>
      </w:r>
      <w:r w:rsidR="003016CF" w:rsidRPr="00BA1984">
        <w:rPr>
          <w:rFonts w:ascii="Times New Roman" w:hAnsi="Times New Roman" w:cs="Times New Roman"/>
          <w:sz w:val="24"/>
          <w:szCs w:val="24"/>
          <w:lang w:val="ro-RO"/>
        </w:rPr>
        <w:t xml:space="preserve"> și respectă principiile stabilirii relațiilor de afaceri cu clienții Organizației și de efectuare a operațiunilor cu </w:t>
      </w:r>
      <w:r w:rsidR="0061249B" w:rsidRPr="00BA1984">
        <w:rPr>
          <w:rFonts w:ascii="Times New Roman" w:hAnsi="Times New Roman" w:cs="Times New Roman"/>
          <w:sz w:val="24"/>
          <w:szCs w:val="24"/>
          <w:lang w:val="ro-RO"/>
        </w:rPr>
        <w:t>acestea</w:t>
      </w:r>
      <w:r w:rsidR="003016CF" w:rsidRPr="00BA1984">
        <w:rPr>
          <w:rFonts w:ascii="Times New Roman" w:hAnsi="Times New Roman" w:cs="Times New Roman"/>
          <w:sz w:val="24"/>
          <w:szCs w:val="24"/>
          <w:lang w:val="ro-RO"/>
        </w:rPr>
        <w:t xml:space="preserve"> prevăzute de legislația cu privire la prevenirea și combaterea  spălării banilor și a finanțării terorismului, printre care:</w:t>
      </w:r>
    </w:p>
    <w:p w14:paraId="2A9E8DE6" w14:textId="77777777" w:rsidR="003016CF" w:rsidRPr="00F11F76" w:rsidRDefault="003016CF" w:rsidP="00E03082">
      <w:pPr>
        <w:pStyle w:val="ListParagraph"/>
        <w:numPr>
          <w:ilvl w:val="0"/>
          <w:numId w:val="6"/>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 xml:space="preserve">Organizația nu intră în raporturi contractuale </w:t>
      </w:r>
      <w:r w:rsidR="0061249B" w:rsidRPr="00F11F76">
        <w:rPr>
          <w:rFonts w:ascii="Times New Roman" w:hAnsi="Times New Roman" w:cs="Times New Roman"/>
          <w:sz w:val="24"/>
          <w:szCs w:val="24"/>
          <w:lang w:val="ro-RO"/>
        </w:rPr>
        <w:t>până</w:t>
      </w:r>
      <w:r w:rsidRPr="00F11F76">
        <w:rPr>
          <w:rFonts w:ascii="Times New Roman" w:hAnsi="Times New Roman" w:cs="Times New Roman"/>
          <w:sz w:val="24"/>
          <w:szCs w:val="24"/>
          <w:lang w:val="ro-RO"/>
        </w:rPr>
        <w:t xml:space="preserve"> </w:t>
      </w:r>
      <w:r w:rsidR="0061249B" w:rsidRPr="00F11F76">
        <w:rPr>
          <w:rFonts w:ascii="Times New Roman" w:hAnsi="Times New Roman" w:cs="Times New Roman"/>
          <w:sz w:val="24"/>
          <w:szCs w:val="24"/>
          <w:lang w:val="ro-RO"/>
        </w:rPr>
        <w:t>când</w:t>
      </w:r>
      <w:r w:rsidRPr="00F11F76">
        <w:rPr>
          <w:rFonts w:ascii="Times New Roman" w:hAnsi="Times New Roman" w:cs="Times New Roman"/>
          <w:sz w:val="24"/>
          <w:szCs w:val="24"/>
          <w:lang w:val="ro-RO"/>
        </w:rPr>
        <w:t xml:space="preserve"> identitatea noului client nu se verifică în modul corespunzător;</w:t>
      </w:r>
    </w:p>
    <w:p w14:paraId="1FB68141" w14:textId="77777777" w:rsidR="003016CF" w:rsidRPr="00F11F76" w:rsidRDefault="003016CF" w:rsidP="00E03082">
      <w:pPr>
        <w:pStyle w:val="ListParagraph"/>
        <w:numPr>
          <w:ilvl w:val="0"/>
          <w:numId w:val="6"/>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Organizația nu operează cu conturi pentru care identitatea titularului nu este cunoscută în modul corespunzător</w:t>
      </w:r>
      <w:r w:rsidR="004905CA" w:rsidRPr="00F11F76">
        <w:rPr>
          <w:rFonts w:ascii="Times New Roman" w:hAnsi="Times New Roman" w:cs="Times New Roman"/>
          <w:sz w:val="24"/>
          <w:szCs w:val="24"/>
          <w:lang w:val="ro-RO"/>
        </w:rPr>
        <w:t>;</w:t>
      </w:r>
    </w:p>
    <w:p w14:paraId="37896624" w14:textId="77777777" w:rsidR="003016CF" w:rsidRPr="00F11F76" w:rsidRDefault="003016CF" w:rsidP="00E03082">
      <w:pPr>
        <w:pStyle w:val="ListParagraph"/>
        <w:numPr>
          <w:ilvl w:val="0"/>
          <w:numId w:val="6"/>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lastRenderedPageBreak/>
        <w:t xml:space="preserve">Organizația nu stabilește </w:t>
      </w:r>
      <w:r w:rsidR="004905CA" w:rsidRPr="00F11F76">
        <w:rPr>
          <w:rFonts w:ascii="Times New Roman" w:hAnsi="Times New Roman" w:cs="Times New Roman"/>
          <w:sz w:val="24"/>
          <w:szCs w:val="24"/>
          <w:lang w:val="ro-RO"/>
        </w:rPr>
        <w:t>relații de afaceri cu persoanele, grupurile și entitățile implicate în activități teroriste și de proliferare a armelor de distrugere în masă;</w:t>
      </w:r>
    </w:p>
    <w:p w14:paraId="2D205084" w14:textId="77777777" w:rsidR="004905CA" w:rsidRPr="00F11F76" w:rsidRDefault="004905CA" w:rsidP="00E03082">
      <w:pPr>
        <w:pStyle w:val="ListParagraph"/>
        <w:numPr>
          <w:ilvl w:val="0"/>
          <w:numId w:val="6"/>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Organizația aplică măsurile de precauție privind clientul, care includ proceduri de acceptare a clientului, măsuri de identificare a clientului și a beneficiarului efectiv, măsuri de monitorizare, informația de la persoanele terțe.</w:t>
      </w:r>
    </w:p>
    <w:p w14:paraId="4BBD9ED6" w14:textId="3C87948C" w:rsidR="00205448" w:rsidRPr="00BA1984" w:rsidRDefault="004905CA" w:rsidP="00E03082">
      <w:pPr>
        <w:pStyle w:val="ListParagraph"/>
        <w:numPr>
          <w:ilvl w:val="1"/>
          <w:numId w:val="21"/>
        </w:numPr>
        <w:jc w:val="both"/>
        <w:rPr>
          <w:rFonts w:ascii="Times New Roman" w:hAnsi="Times New Roman" w:cs="Times New Roman"/>
          <w:sz w:val="24"/>
          <w:szCs w:val="24"/>
          <w:lang w:val="ro-RO"/>
        </w:rPr>
      </w:pPr>
      <w:r w:rsidRPr="00BA1984">
        <w:rPr>
          <w:rFonts w:ascii="Times New Roman" w:hAnsi="Times New Roman" w:cs="Times New Roman"/>
          <w:sz w:val="24"/>
          <w:szCs w:val="24"/>
          <w:lang w:val="ro-RO"/>
        </w:rPr>
        <w:t>La evaluarea riscului de spălare a banilor și finanțare a terorismului</w:t>
      </w:r>
      <w:r w:rsidR="00FD19F5" w:rsidRPr="00BA1984">
        <w:rPr>
          <w:rFonts w:ascii="Times New Roman" w:hAnsi="Times New Roman" w:cs="Times New Roman"/>
          <w:sz w:val="24"/>
          <w:szCs w:val="24"/>
          <w:lang w:val="ro-RO"/>
        </w:rPr>
        <w:t>, Organizația utilizează următoarele:</w:t>
      </w:r>
    </w:p>
    <w:p w14:paraId="44834B23" w14:textId="77777777" w:rsidR="00FD19F5" w:rsidRPr="00F11F76" w:rsidRDefault="00127913" w:rsidP="00E03082">
      <w:pPr>
        <w:pStyle w:val="ListParagraph"/>
        <w:numPr>
          <w:ilvl w:val="0"/>
          <w:numId w:val="7"/>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c</w:t>
      </w:r>
      <w:r w:rsidR="00FD19F5" w:rsidRPr="00F11F76">
        <w:rPr>
          <w:rFonts w:ascii="Times New Roman" w:hAnsi="Times New Roman" w:cs="Times New Roman"/>
          <w:sz w:val="24"/>
          <w:szCs w:val="24"/>
          <w:lang w:val="ro-RO"/>
        </w:rPr>
        <w:t>ategorii de risc:</w:t>
      </w:r>
    </w:p>
    <w:p w14:paraId="7BE65DEB" w14:textId="77777777" w:rsidR="00FD19F5" w:rsidRPr="00F11F76" w:rsidRDefault="00FD19F5" w:rsidP="00E03082">
      <w:pPr>
        <w:pStyle w:val="ListParagraph"/>
        <w:numPr>
          <w:ilvl w:val="0"/>
          <w:numId w:val="8"/>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riscul de țară (geografic), care se referă la țările cu risc înalt de spălare a banilor și de finanțare a terorismului;</w:t>
      </w:r>
    </w:p>
    <w:p w14:paraId="4FAE0944" w14:textId="77777777" w:rsidR="00FD19F5" w:rsidRPr="00F11F76" w:rsidRDefault="00FD19F5" w:rsidP="00E03082">
      <w:pPr>
        <w:pStyle w:val="ListParagraph"/>
        <w:numPr>
          <w:ilvl w:val="0"/>
          <w:numId w:val="8"/>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riscul clientului, care determină dacă relația cu un anumit client/categorie de client prezintă un înalt risc de spălare a banilor și de finanțare a terorismului;</w:t>
      </w:r>
    </w:p>
    <w:p w14:paraId="62A64A25" w14:textId="77777777" w:rsidR="00FD19F5" w:rsidRPr="00F11F76" w:rsidRDefault="00FD19F5" w:rsidP="00E03082">
      <w:pPr>
        <w:pStyle w:val="ListParagraph"/>
        <w:numPr>
          <w:ilvl w:val="0"/>
          <w:numId w:val="8"/>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riscul produselor/serviciilor, care impun Organizației identificarea potențialelor riscuri a acestora aferent spălării</w:t>
      </w:r>
      <w:r w:rsidR="00127913" w:rsidRPr="00F11F76">
        <w:rPr>
          <w:rFonts w:ascii="Times New Roman" w:hAnsi="Times New Roman" w:cs="Times New Roman"/>
          <w:sz w:val="24"/>
          <w:szCs w:val="24"/>
          <w:lang w:val="ro-RO"/>
        </w:rPr>
        <w:t xml:space="preserve"> banilor și finanțării terorismului.</w:t>
      </w:r>
    </w:p>
    <w:p w14:paraId="2077627B" w14:textId="77777777" w:rsidR="00127913" w:rsidRPr="00F11F76" w:rsidRDefault="00127913" w:rsidP="00E03082">
      <w:pPr>
        <w:pStyle w:val="ListParagraph"/>
        <w:numPr>
          <w:ilvl w:val="0"/>
          <w:numId w:val="7"/>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Factorii de risc asociați:</w:t>
      </w:r>
    </w:p>
    <w:p w14:paraId="1F09D7E3" w14:textId="77777777" w:rsidR="00127913" w:rsidRPr="00F11F76" w:rsidRDefault="00127913" w:rsidP="00E03082">
      <w:pPr>
        <w:pStyle w:val="ListParagraph"/>
        <w:numPr>
          <w:ilvl w:val="0"/>
          <w:numId w:val="9"/>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Clientului, inclusiv al beneficiarului efectiv</w:t>
      </w:r>
    </w:p>
    <w:p w14:paraId="57ABD2B7" w14:textId="77777777" w:rsidR="00127913" w:rsidRPr="00F11F76" w:rsidRDefault="00127913" w:rsidP="00E03082">
      <w:pPr>
        <w:pStyle w:val="ListParagraph"/>
        <w:numPr>
          <w:ilvl w:val="0"/>
          <w:numId w:val="10"/>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Activitatea acestuia, de exemplu</w:t>
      </w:r>
    </w:p>
    <w:p w14:paraId="75BF999C" w14:textId="77777777" w:rsidR="00127913" w:rsidRPr="00F11F76" w:rsidRDefault="00127913" w:rsidP="00E03082">
      <w:pPr>
        <w:pStyle w:val="ListParagraph"/>
        <w:numPr>
          <w:ilvl w:val="0"/>
          <w:numId w:val="11"/>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legat de sectoare asociate frecvent cu un risc ridicat de corupție (domeniul comerțului cu armele, industria extractivă, achiziții publice, etc.)</w:t>
      </w:r>
    </w:p>
    <w:p w14:paraId="5274DB6C" w14:textId="77777777" w:rsidR="00127913" w:rsidRPr="00F11F76" w:rsidRDefault="00127913" w:rsidP="00E03082">
      <w:pPr>
        <w:pStyle w:val="ListParagraph"/>
        <w:numPr>
          <w:ilvl w:val="0"/>
          <w:numId w:val="11"/>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legat de sectoare asociate frecvent cu un de spălare a banilor sau de finanțare a terorismului</w:t>
      </w:r>
      <w:r w:rsidR="00964405" w:rsidRPr="00F11F76">
        <w:rPr>
          <w:rFonts w:ascii="Times New Roman" w:hAnsi="Times New Roman" w:cs="Times New Roman"/>
          <w:sz w:val="24"/>
          <w:szCs w:val="24"/>
          <w:lang w:val="ro-RO"/>
        </w:rPr>
        <w:t xml:space="preserve"> (cazinouri, comercianți de metale prețioase, etc.)</w:t>
      </w:r>
    </w:p>
    <w:p w14:paraId="6812B1D9" w14:textId="77777777" w:rsidR="00964405" w:rsidRPr="00F11F76" w:rsidRDefault="0078149C" w:rsidP="00E03082">
      <w:pPr>
        <w:pStyle w:val="ListParagraph"/>
        <w:numPr>
          <w:ilvl w:val="0"/>
          <w:numId w:val="11"/>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legături relevante cu persoane expuse politic</w:t>
      </w:r>
      <w:r w:rsidR="00750A17" w:rsidRPr="00F11F76">
        <w:rPr>
          <w:rFonts w:ascii="Times New Roman" w:hAnsi="Times New Roman" w:cs="Times New Roman"/>
          <w:sz w:val="24"/>
          <w:szCs w:val="24"/>
          <w:lang w:val="ro-RO"/>
        </w:rPr>
        <w:t>;</w:t>
      </w:r>
    </w:p>
    <w:p w14:paraId="303DB616" w14:textId="77777777" w:rsidR="0078149C" w:rsidRPr="00F11F76" w:rsidRDefault="0078149C" w:rsidP="00E03082">
      <w:pPr>
        <w:pStyle w:val="ListParagraph"/>
        <w:numPr>
          <w:ilvl w:val="0"/>
          <w:numId w:val="11"/>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etc.</w:t>
      </w:r>
    </w:p>
    <w:p w14:paraId="4A7F452E" w14:textId="77777777" w:rsidR="00127913" w:rsidRPr="00F11F76" w:rsidRDefault="00127913" w:rsidP="00E03082">
      <w:pPr>
        <w:pStyle w:val="ListParagraph"/>
        <w:numPr>
          <w:ilvl w:val="0"/>
          <w:numId w:val="11"/>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reputația clientului și a beneficiarului efectiv al clientului, de exemplu informații cu privire la integritate</w:t>
      </w:r>
      <w:r w:rsidR="000F01F8" w:rsidRPr="00F11F76">
        <w:rPr>
          <w:rFonts w:ascii="Times New Roman" w:hAnsi="Times New Roman" w:cs="Times New Roman"/>
          <w:sz w:val="24"/>
          <w:szCs w:val="24"/>
          <w:lang w:val="ro-RO"/>
        </w:rPr>
        <w:t>a</w:t>
      </w:r>
      <w:r w:rsidRPr="00F11F76">
        <w:rPr>
          <w:rFonts w:ascii="Times New Roman" w:hAnsi="Times New Roman" w:cs="Times New Roman"/>
          <w:sz w:val="24"/>
          <w:szCs w:val="24"/>
          <w:lang w:val="ro-RO"/>
        </w:rPr>
        <w:t xml:space="preserve"> clientului și a beneficiarului efectiv</w:t>
      </w:r>
      <w:r w:rsidR="00750A17" w:rsidRPr="00F11F76">
        <w:rPr>
          <w:rFonts w:ascii="Times New Roman" w:hAnsi="Times New Roman" w:cs="Times New Roman"/>
          <w:sz w:val="24"/>
          <w:szCs w:val="24"/>
          <w:lang w:val="ro-RO"/>
        </w:rPr>
        <w:t>.</w:t>
      </w:r>
    </w:p>
    <w:p w14:paraId="0F8DD1BA" w14:textId="77777777" w:rsidR="00205448" w:rsidRPr="00F11F76" w:rsidRDefault="0078149C" w:rsidP="00E03082">
      <w:pPr>
        <w:pStyle w:val="ListParagraph"/>
        <w:numPr>
          <w:ilvl w:val="0"/>
          <w:numId w:val="9"/>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jurisdicțiilor/țărilor, adică jurisdicțiile</w:t>
      </w:r>
      <w:r w:rsidR="00183F48" w:rsidRPr="00F11F76">
        <w:rPr>
          <w:rFonts w:ascii="Times New Roman" w:hAnsi="Times New Roman" w:cs="Times New Roman"/>
          <w:sz w:val="24"/>
          <w:szCs w:val="24"/>
          <w:lang w:val="ro-RO"/>
        </w:rPr>
        <w:t xml:space="preserve"> în care clientul și beneficiarul efectiv sunt stabiliți, au sediul principal și în care au legături personale relevante. Aici se vor examina:</w:t>
      </w:r>
    </w:p>
    <w:p w14:paraId="4EB38225" w14:textId="77777777" w:rsidR="00183F48" w:rsidRPr="00F11F76" w:rsidRDefault="00183F48" w:rsidP="00E03082">
      <w:pPr>
        <w:pStyle w:val="ListParagraph"/>
        <w:numPr>
          <w:ilvl w:val="0"/>
          <w:numId w:val="11"/>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 xml:space="preserve">adecvarea regimului de combatere a spălării banilor sau finanțării terorismului al statului și eficacitatea acțiunii de supraveghere pe linia combaterii spălării banilor sau a finanțării </w:t>
      </w:r>
      <w:r w:rsidR="0061249B" w:rsidRPr="00F11F76">
        <w:rPr>
          <w:rFonts w:ascii="Times New Roman" w:hAnsi="Times New Roman" w:cs="Times New Roman"/>
          <w:sz w:val="24"/>
          <w:szCs w:val="24"/>
          <w:lang w:val="ro-RO"/>
        </w:rPr>
        <w:t>terorismului</w:t>
      </w:r>
      <w:r w:rsidRPr="00F11F76">
        <w:rPr>
          <w:rFonts w:ascii="Times New Roman" w:hAnsi="Times New Roman" w:cs="Times New Roman"/>
          <w:sz w:val="24"/>
          <w:szCs w:val="24"/>
          <w:lang w:val="ro-RO"/>
        </w:rPr>
        <w:t>.</w:t>
      </w:r>
    </w:p>
    <w:p w14:paraId="57949A69" w14:textId="77777777" w:rsidR="00183F48" w:rsidRPr="00F11F76" w:rsidRDefault="00183F48" w:rsidP="00E03082">
      <w:pPr>
        <w:pStyle w:val="ListParagraph"/>
        <w:numPr>
          <w:ilvl w:val="0"/>
          <w:numId w:val="11"/>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 xml:space="preserve">nivelul de transparență și </w:t>
      </w:r>
      <w:r w:rsidR="0061249B" w:rsidRPr="00F11F76">
        <w:rPr>
          <w:rFonts w:ascii="Times New Roman" w:hAnsi="Times New Roman" w:cs="Times New Roman"/>
          <w:sz w:val="24"/>
          <w:szCs w:val="24"/>
          <w:lang w:val="ro-RO"/>
        </w:rPr>
        <w:t>conformitate</w:t>
      </w:r>
      <w:r w:rsidRPr="00F11F76">
        <w:rPr>
          <w:rFonts w:ascii="Times New Roman" w:hAnsi="Times New Roman" w:cs="Times New Roman"/>
          <w:sz w:val="24"/>
          <w:szCs w:val="24"/>
          <w:lang w:val="ro-RO"/>
        </w:rPr>
        <w:t xml:space="preserve"> fiscală</w:t>
      </w:r>
      <w:r w:rsidR="00750A17" w:rsidRPr="00F11F76">
        <w:rPr>
          <w:rFonts w:ascii="Times New Roman" w:hAnsi="Times New Roman" w:cs="Times New Roman"/>
          <w:sz w:val="24"/>
          <w:szCs w:val="24"/>
          <w:lang w:val="ro-RO"/>
        </w:rPr>
        <w:t>;</w:t>
      </w:r>
    </w:p>
    <w:p w14:paraId="7AF4873B" w14:textId="77777777" w:rsidR="00183F48" w:rsidRPr="00F11F76" w:rsidRDefault="00183F48" w:rsidP="00E03082">
      <w:pPr>
        <w:pStyle w:val="ListParagraph"/>
        <w:numPr>
          <w:ilvl w:val="0"/>
          <w:numId w:val="11"/>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etc.</w:t>
      </w:r>
    </w:p>
    <w:p w14:paraId="11F4E184" w14:textId="77777777" w:rsidR="00183F48" w:rsidRPr="00F11F76" w:rsidRDefault="00183F48" w:rsidP="00E03082">
      <w:pPr>
        <w:pStyle w:val="ListParagraph"/>
        <w:numPr>
          <w:ilvl w:val="0"/>
          <w:numId w:val="9"/>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Produselor, serviciilor, tranzacțiilor</w:t>
      </w:r>
    </w:p>
    <w:p w14:paraId="7A7C3AD3" w14:textId="77777777" w:rsidR="00183F48" w:rsidRPr="00F11F76" w:rsidRDefault="00183F48" w:rsidP="00E03082">
      <w:pPr>
        <w:pStyle w:val="ListParagraph"/>
        <w:numPr>
          <w:ilvl w:val="0"/>
          <w:numId w:val="11"/>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nivelul de transparență sau de opacitate pe care îl permite produsul, serviciul sau tranzacția în cauză</w:t>
      </w:r>
      <w:r w:rsidR="00750A17" w:rsidRPr="00F11F76">
        <w:rPr>
          <w:rFonts w:ascii="Times New Roman" w:hAnsi="Times New Roman" w:cs="Times New Roman"/>
          <w:sz w:val="24"/>
          <w:szCs w:val="24"/>
          <w:lang w:val="ro-RO"/>
        </w:rPr>
        <w:t>;</w:t>
      </w:r>
    </w:p>
    <w:p w14:paraId="0AE9A17F" w14:textId="77777777" w:rsidR="00183F48" w:rsidRPr="00F11F76" w:rsidRDefault="00183F48" w:rsidP="00E03082">
      <w:pPr>
        <w:pStyle w:val="ListParagraph"/>
        <w:numPr>
          <w:ilvl w:val="0"/>
          <w:numId w:val="11"/>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caracteristicile produsului favorizează anonimitatea</w:t>
      </w:r>
      <w:r w:rsidR="00750A17" w:rsidRPr="00F11F76">
        <w:rPr>
          <w:rFonts w:ascii="Times New Roman" w:hAnsi="Times New Roman" w:cs="Times New Roman"/>
          <w:sz w:val="24"/>
          <w:szCs w:val="24"/>
          <w:lang w:val="ro-RO"/>
        </w:rPr>
        <w:t>;</w:t>
      </w:r>
    </w:p>
    <w:p w14:paraId="3FE54DE4" w14:textId="77777777" w:rsidR="00183F48" w:rsidRPr="00F11F76" w:rsidRDefault="0061249B" w:rsidP="00E03082">
      <w:pPr>
        <w:pStyle w:val="ListParagraph"/>
        <w:numPr>
          <w:ilvl w:val="0"/>
          <w:numId w:val="11"/>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complexitatea</w:t>
      </w:r>
      <w:r w:rsidR="00183F48" w:rsidRPr="00F11F76">
        <w:rPr>
          <w:rFonts w:ascii="Times New Roman" w:hAnsi="Times New Roman" w:cs="Times New Roman"/>
          <w:sz w:val="24"/>
          <w:szCs w:val="24"/>
          <w:lang w:val="ro-RO"/>
        </w:rPr>
        <w:t xml:space="preserve"> produsului, serviciului sau tranzacției</w:t>
      </w:r>
      <w:r w:rsidR="00750A17" w:rsidRPr="00F11F76">
        <w:rPr>
          <w:rFonts w:ascii="Times New Roman" w:hAnsi="Times New Roman" w:cs="Times New Roman"/>
          <w:sz w:val="24"/>
          <w:szCs w:val="24"/>
          <w:lang w:val="ro-RO"/>
        </w:rPr>
        <w:t>;</w:t>
      </w:r>
    </w:p>
    <w:p w14:paraId="5AEA0BFA" w14:textId="77777777" w:rsidR="00183F48" w:rsidRPr="00F11F76" w:rsidRDefault="00183F48" w:rsidP="00E03082">
      <w:pPr>
        <w:pStyle w:val="ListParagraph"/>
        <w:numPr>
          <w:ilvl w:val="0"/>
          <w:numId w:val="11"/>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valoarea sau dimensiunea produsului, serviciului sau tranzacției.</w:t>
      </w:r>
    </w:p>
    <w:p w14:paraId="5FDA6217" w14:textId="648EC9F8" w:rsidR="00183F48" w:rsidRPr="00F11F76" w:rsidRDefault="00BA1984" w:rsidP="00F11F76">
      <w:pPr>
        <w:ind w:left="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6.3 </w:t>
      </w:r>
      <w:r w:rsidR="00183F48" w:rsidRPr="00F11F76">
        <w:rPr>
          <w:rFonts w:ascii="Times New Roman" w:hAnsi="Times New Roman" w:cs="Times New Roman"/>
          <w:sz w:val="24"/>
          <w:szCs w:val="24"/>
          <w:lang w:val="ro-RO"/>
        </w:rPr>
        <w:t xml:space="preserve"> În evaluarea riscului de spălare a banilor și finanțare a terorismului </w:t>
      </w:r>
      <w:r w:rsidR="0061249B">
        <w:rPr>
          <w:rFonts w:ascii="Times New Roman" w:hAnsi="Times New Roman" w:cs="Times New Roman"/>
          <w:sz w:val="24"/>
          <w:szCs w:val="24"/>
          <w:lang w:val="ro-RO"/>
        </w:rPr>
        <w:t>Organizaț</w:t>
      </w:r>
      <w:r w:rsidR="00183F48" w:rsidRPr="00F11F76">
        <w:rPr>
          <w:rFonts w:ascii="Times New Roman" w:hAnsi="Times New Roman" w:cs="Times New Roman"/>
          <w:sz w:val="24"/>
          <w:szCs w:val="24"/>
          <w:lang w:val="ro-RO"/>
        </w:rPr>
        <w:t>ia utilizează o c</w:t>
      </w:r>
      <w:r w:rsidR="00750A17" w:rsidRPr="00F11F76">
        <w:rPr>
          <w:rFonts w:ascii="Times New Roman" w:hAnsi="Times New Roman" w:cs="Times New Roman"/>
          <w:sz w:val="24"/>
          <w:szCs w:val="24"/>
          <w:lang w:val="ro-RO"/>
        </w:rPr>
        <w:t xml:space="preserve">ombinare a </w:t>
      </w:r>
      <w:r w:rsidR="00750A17" w:rsidRPr="00F11F76">
        <w:rPr>
          <w:rFonts w:ascii="Times New Roman" w:hAnsi="Times New Roman" w:cs="Times New Roman"/>
          <w:b/>
          <w:sz w:val="24"/>
          <w:szCs w:val="24"/>
          <w:u w:val="single"/>
          <w:lang w:val="ro-RO"/>
        </w:rPr>
        <w:t>metodei calitative</w:t>
      </w:r>
      <w:r w:rsidR="00750A17" w:rsidRPr="00F11F76">
        <w:rPr>
          <w:rFonts w:ascii="Times New Roman" w:hAnsi="Times New Roman" w:cs="Times New Roman"/>
          <w:sz w:val="24"/>
          <w:szCs w:val="24"/>
          <w:lang w:val="ro-RO"/>
        </w:rPr>
        <w:t xml:space="preserve"> (</w:t>
      </w:r>
      <w:r w:rsidR="00183F48" w:rsidRPr="00F11F76">
        <w:rPr>
          <w:rFonts w:ascii="Times New Roman" w:hAnsi="Times New Roman" w:cs="Times New Roman"/>
          <w:sz w:val="24"/>
          <w:szCs w:val="24"/>
          <w:lang w:val="ro-RO"/>
        </w:rPr>
        <w:t>care presupune</w:t>
      </w:r>
      <w:r w:rsidR="00750A17" w:rsidRPr="00F11F76">
        <w:rPr>
          <w:rFonts w:ascii="Times New Roman" w:hAnsi="Times New Roman" w:cs="Times New Roman"/>
          <w:sz w:val="24"/>
          <w:szCs w:val="24"/>
          <w:lang w:val="ro-RO"/>
        </w:rPr>
        <w:t xml:space="preserve"> utilizarea combinată a probabilității și a </w:t>
      </w:r>
      <w:r w:rsidR="00750A17" w:rsidRPr="00F11F76">
        <w:rPr>
          <w:rFonts w:ascii="Times New Roman" w:hAnsi="Times New Roman" w:cs="Times New Roman"/>
          <w:sz w:val="24"/>
          <w:szCs w:val="24"/>
          <w:lang w:val="ro-RO"/>
        </w:rPr>
        <w:lastRenderedPageBreak/>
        <w:t>impactului) și utilizarea instrumentelor cantitative. Aceasta presupune parcurgerea următoarelor etape:</w:t>
      </w:r>
    </w:p>
    <w:p w14:paraId="57F1F840" w14:textId="77777777" w:rsidR="00750A17" w:rsidRPr="00F11F76" w:rsidRDefault="00750A17" w:rsidP="00F11F76">
      <w:pPr>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 xml:space="preserve">a) </w:t>
      </w:r>
      <w:r w:rsidRPr="00F11F76">
        <w:rPr>
          <w:rFonts w:ascii="Times New Roman" w:hAnsi="Times New Roman" w:cs="Times New Roman"/>
          <w:sz w:val="24"/>
          <w:szCs w:val="24"/>
          <w:u w:val="single"/>
          <w:lang w:val="ro-RO"/>
        </w:rPr>
        <w:t>aprecierea probabilității</w:t>
      </w:r>
      <w:r w:rsidRPr="00F11F76">
        <w:rPr>
          <w:rFonts w:ascii="Times New Roman" w:hAnsi="Times New Roman" w:cs="Times New Roman"/>
          <w:sz w:val="24"/>
          <w:szCs w:val="24"/>
          <w:lang w:val="ro-RO"/>
        </w:rPr>
        <w:t xml:space="preserve"> de apariție a riscului ( bazat pe experiențele anterioare). Aceasta se exprimă pe o scală valorică pe 3 nivele:</w:t>
      </w:r>
    </w:p>
    <w:p w14:paraId="78CD9EAA" w14:textId="77777777" w:rsidR="00750A17" w:rsidRPr="00F11F76" w:rsidRDefault="00750A17" w:rsidP="00E03082">
      <w:pPr>
        <w:pStyle w:val="ListParagraph"/>
        <w:numPr>
          <w:ilvl w:val="0"/>
          <w:numId w:val="12"/>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 xml:space="preserve">foarte probabil – riscul are o probabilitate înaltă de a se materializa pe baza experiențelor anterioare și probabil va apărea de </w:t>
      </w:r>
      <w:proofErr w:type="spellStart"/>
      <w:r w:rsidRPr="00F11F76">
        <w:rPr>
          <w:rFonts w:ascii="Times New Roman" w:hAnsi="Times New Roman" w:cs="Times New Roman"/>
          <w:sz w:val="24"/>
          <w:szCs w:val="24"/>
          <w:lang w:val="ro-RO"/>
        </w:rPr>
        <w:t>cîteva</w:t>
      </w:r>
      <w:proofErr w:type="spellEnd"/>
      <w:r w:rsidRPr="00F11F76">
        <w:rPr>
          <w:rFonts w:ascii="Times New Roman" w:hAnsi="Times New Roman" w:cs="Times New Roman"/>
          <w:sz w:val="24"/>
          <w:szCs w:val="24"/>
          <w:lang w:val="ro-RO"/>
        </w:rPr>
        <w:t xml:space="preserve"> ori pe an;</w:t>
      </w:r>
    </w:p>
    <w:p w14:paraId="034CE3C9" w14:textId="77777777" w:rsidR="00750A17" w:rsidRPr="00F11F76" w:rsidRDefault="00750A17" w:rsidP="00E03082">
      <w:pPr>
        <w:pStyle w:val="ListParagraph"/>
        <w:numPr>
          <w:ilvl w:val="0"/>
          <w:numId w:val="12"/>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probabil – riscul se poate materializa pe baza experiențelor anterioare și are probabilitate că va apărea o dată pe an;</w:t>
      </w:r>
    </w:p>
    <w:p w14:paraId="37CB4B98" w14:textId="77777777" w:rsidR="00750A17" w:rsidRPr="00F11F76" w:rsidRDefault="0061249B" w:rsidP="00E03082">
      <w:pPr>
        <w:pStyle w:val="ListParagraph"/>
        <w:numPr>
          <w:ilvl w:val="0"/>
          <w:numId w:val="12"/>
        </w:numPr>
        <w:jc w:val="both"/>
        <w:rPr>
          <w:rFonts w:ascii="Times New Roman" w:hAnsi="Times New Roman" w:cs="Times New Roman"/>
          <w:sz w:val="24"/>
          <w:szCs w:val="24"/>
          <w:lang w:val="ro-RO"/>
        </w:rPr>
      </w:pPr>
      <w:r>
        <w:rPr>
          <w:rFonts w:ascii="Times New Roman" w:hAnsi="Times New Roman" w:cs="Times New Roman"/>
          <w:sz w:val="24"/>
          <w:szCs w:val="24"/>
          <w:lang w:val="ro-RO"/>
        </w:rPr>
        <w:t>puțin probabil – riscul este pu</w:t>
      </w:r>
      <w:r w:rsidR="001A1FB3" w:rsidRPr="00F11F76">
        <w:rPr>
          <w:rFonts w:ascii="Times New Roman" w:hAnsi="Times New Roman" w:cs="Times New Roman"/>
          <w:sz w:val="24"/>
          <w:szCs w:val="24"/>
          <w:lang w:val="ro-RO"/>
        </w:rPr>
        <w:t>ț</w:t>
      </w:r>
      <w:r>
        <w:rPr>
          <w:rFonts w:ascii="Times New Roman" w:hAnsi="Times New Roman" w:cs="Times New Roman"/>
          <w:sz w:val="24"/>
          <w:szCs w:val="24"/>
          <w:lang w:val="ro-RO"/>
        </w:rPr>
        <w:t xml:space="preserve">in probabil să </w:t>
      </w:r>
      <w:r w:rsidR="001A1FB3" w:rsidRPr="00F11F76">
        <w:rPr>
          <w:rFonts w:ascii="Times New Roman" w:hAnsi="Times New Roman" w:cs="Times New Roman"/>
          <w:sz w:val="24"/>
          <w:szCs w:val="24"/>
          <w:lang w:val="ro-RO"/>
        </w:rPr>
        <w:t>materializeze pe baza experiențelor anterioare.</w:t>
      </w:r>
    </w:p>
    <w:p w14:paraId="0D1FDB31" w14:textId="77777777" w:rsidR="00B33674" w:rsidRPr="00F11F76" w:rsidRDefault="001A1FB3" w:rsidP="00F11F76">
      <w:pPr>
        <w:ind w:left="72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 xml:space="preserve">b) </w:t>
      </w:r>
      <w:r w:rsidRPr="00F11F76">
        <w:rPr>
          <w:rFonts w:ascii="Times New Roman" w:hAnsi="Times New Roman" w:cs="Times New Roman"/>
          <w:sz w:val="24"/>
          <w:szCs w:val="24"/>
          <w:u w:val="single"/>
          <w:lang w:val="ro-RO"/>
        </w:rPr>
        <w:t>aprecierea impactului</w:t>
      </w:r>
      <w:r w:rsidRPr="00F11F76">
        <w:rPr>
          <w:rFonts w:ascii="Times New Roman" w:hAnsi="Times New Roman" w:cs="Times New Roman"/>
          <w:sz w:val="24"/>
          <w:szCs w:val="24"/>
          <w:lang w:val="ro-RO"/>
        </w:rPr>
        <w:t xml:space="preserve"> (influența asupra procesului operațional, financiar sau de altă natură</w:t>
      </w:r>
      <w:r w:rsidR="00B33674" w:rsidRPr="00F11F76">
        <w:rPr>
          <w:rFonts w:ascii="Times New Roman" w:hAnsi="Times New Roman" w:cs="Times New Roman"/>
          <w:sz w:val="24"/>
          <w:szCs w:val="24"/>
          <w:lang w:val="ro-RO"/>
        </w:rPr>
        <w:t>, inclusiv asupra reputației) acestuia asupra reputației Organizației. Aceasta se exprimă pe o scală valorică pe 3 nivele:</w:t>
      </w:r>
    </w:p>
    <w:p w14:paraId="1A28B088" w14:textId="77777777" w:rsidR="001A1FB3" w:rsidRPr="00F11F76" w:rsidRDefault="00B33674" w:rsidP="00E03082">
      <w:pPr>
        <w:pStyle w:val="ListParagraph"/>
        <w:numPr>
          <w:ilvl w:val="0"/>
          <w:numId w:val="13"/>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 xml:space="preserve">major – </w:t>
      </w:r>
      <w:r w:rsidR="0061249B" w:rsidRPr="00F11F76">
        <w:rPr>
          <w:rFonts w:ascii="Times New Roman" w:hAnsi="Times New Roman" w:cs="Times New Roman"/>
          <w:sz w:val="24"/>
          <w:szCs w:val="24"/>
          <w:lang w:val="ro-RO"/>
        </w:rPr>
        <w:t>evenimentul</w:t>
      </w:r>
      <w:r w:rsidRPr="00F11F76">
        <w:rPr>
          <w:rFonts w:ascii="Times New Roman" w:hAnsi="Times New Roman" w:cs="Times New Roman"/>
          <w:sz w:val="24"/>
          <w:szCs w:val="24"/>
          <w:lang w:val="ro-RO"/>
        </w:rPr>
        <w:t xml:space="preserve"> ar avea consecințe serioase prin cauzarea de pierderi majore sau ar influența acte teroriste grave și spălare de bani;</w:t>
      </w:r>
    </w:p>
    <w:p w14:paraId="2609210F" w14:textId="77777777" w:rsidR="00B33674" w:rsidRPr="00F11F76" w:rsidRDefault="00B33674" w:rsidP="00E03082">
      <w:pPr>
        <w:pStyle w:val="ListParagraph"/>
        <w:numPr>
          <w:ilvl w:val="0"/>
          <w:numId w:val="13"/>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 xml:space="preserve">moderat – </w:t>
      </w:r>
      <w:r w:rsidR="0061249B" w:rsidRPr="00F11F76">
        <w:rPr>
          <w:rFonts w:ascii="Times New Roman" w:hAnsi="Times New Roman" w:cs="Times New Roman"/>
          <w:sz w:val="24"/>
          <w:szCs w:val="24"/>
          <w:lang w:val="ro-RO"/>
        </w:rPr>
        <w:t>evenimentul</w:t>
      </w:r>
      <w:r w:rsidRPr="00F11F76">
        <w:rPr>
          <w:rFonts w:ascii="Times New Roman" w:hAnsi="Times New Roman" w:cs="Times New Roman"/>
          <w:sz w:val="24"/>
          <w:szCs w:val="24"/>
          <w:lang w:val="ro-RO"/>
        </w:rPr>
        <w:t xml:space="preserve"> ar avea un impact moderat și consecințe medii asupra activității;</w:t>
      </w:r>
    </w:p>
    <w:p w14:paraId="4745F326" w14:textId="77777777" w:rsidR="00B33674" w:rsidRPr="00F11F76" w:rsidRDefault="00B33674" w:rsidP="00E03082">
      <w:pPr>
        <w:pStyle w:val="ListParagraph"/>
        <w:numPr>
          <w:ilvl w:val="0"/>
          <w:numId w:val="13"/>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minor – evenimentul ar avea un impact nesemnificativ sau redus asupra activității.</w:t>
      </w:r>
    </w:p>
    <w:p w14:paraId="618DC335" w14:textId="77777777" w:rsidR="00B33674" w:rsidRPr="00F11F76" w:rsidRDefault="00B33674" w:rsidP="00F11F76">
      <w:pPr>
        <w:ind w:left="90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c)</w:t>
      </w:r>
      <w:r w:rsidRPr="00F11F76">
        <w:rPr>
          <w:rFonts w:ascii="Times New Roman" w:hAnsi="Times New Roman" w:cs="Times New Roman"/>
          <w:color w:val="FFFFFF" w:themeColor="background1"/>
          <w:sz w:val="24"/>
          <w:szCs w:val="24"/>
          <w:lang w:val="ro-RO"/>
        </w:rPr>
        <w:t>.</w:t>
      </w:r>
      <w:r w:rsidRPr="00F11F76">
        <w:rPr>
          <w:rFonts w:ascii="Times New Roman" w:hAnsi="Times New Roman" w:cs="Times New Roman"/>
          <w:sz w:val="24"/>
          <w:szCs w:val="24"/>
          <w:u w:val="single"/>
          <w:lang w:val="ro-RO"/>
        </w:rPr>
        <w:t xml:space="preserve">prezentarea </w:t>
      </w:r>
      <w:r w:rsidR="0061249B" w:rsidRPr="00F11F76">
        <w:rPr>
          <w:rFonts w:ascii="Times New Roman" w:hAnsi="Times New Roman" w:cs="Times New Roman"/>
          <w:sz w:val="24"/>
          <w:szCs w:val="24"/>
          <w:u w:val="single"/>
          <w:lang w:val="ro-RO"/>
        </w:rPr>
        <w:t>grafică</w:t>
      </w:r>
      <w:r w:rsidR="0061249B" w:rsidRPr="00F11F76">
        <w:rPr>
          <w:rFonts w:ascii="Times New Roman" w:hAnsi="Times New Roman" w:cs="Times New Roman"/>
          <w:color w:val="FFFFFF" w:themeColor="background1"/>
          <w:sz w:val="24"/>
          <w:szCs w:val="24"/>
          <w:lang w:val="ro-RO"/>
        </w:rPr>
        <w:t>.</w:t>
      </w:r>
      <w:r w:rsidR="0061249B" w:rsidRPr="00F11F76">
        <w:rPr>
          <w:rFonts w:ascii="Times New Roman" w:hAnsi="Times New Roman" w:cs="Times New Roman"/>
          <w:sz w:val="24"/>
          <w:szCs w:val="24"/>
          <w:lang w:val="ro-RO"/>
        </w:rPr>
        <w:t xml:space="preserve"> Calculul</w:t>
      </w:r>
      <w:r w:rsidRPr="00F11F76">
        <w:rPr>
          <w:rFonts w:ascii="Times New Roman" w:hAnsi="Times New Roman" w:cs="Times New Roman"/>
          <w:sz w:val="24"/>
          <w:szCs w:val="24"/>
          <w:lang w:val="ro-RO"/>
        </w:rPr>
        <w:t xml:space="preserve"> nivelului de risc se realizează pe baza tabe</w:t>
      </w:r>
      <w:r w:rsidR="00FD6F89" w:rsidRPr="00F11F76">
        <w:rPr>
          <w:rFonts w:ascii="Times New Roman" w:hAnsi="Times New Roman" w:cs="Times New Roman"/>
          <w:sz w:val="24"/>
          <w:szCs w:val="24"/>
          <w:lang w:val="ro-RO"/>
        </w:rPr>
        <w:t>lului de mai jos (Probabilitatea X Impact = Nivelul riscului), iar caracterizarea acestora este următoarea:</w:t>
      </w:r>
    </w:p>
    <w:p w14:paraId="1686B042" w14:textId="77777777" w:rsidR="00FD6F89" w:rsidRPr="00F11F76" w:rsidRDefault="00FD6F89" w:rsidP="00E03082">
      <w:pPr>
        <w:pStyle w:val="ListParagraph"/>
        <w:numPr>
          <w:ilvl w:val="0"/>
          <w:numId w:val="14"/>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 xml:space="preserve">extrem (5) – este sigur că riscul se va materializa și va avea consecințe foarte grave pentru activitatea Organizației, cum ar fi: sancțiuni din partea organului de supraveghere, pierderea clienților, pierderea </w:t>
      </w:r>
      <w:r w:rsidR="0061249B" w:rsidRPr="00F11F76">
        <w:rPr>
          <w:rFonts w:ascii="Times New Roman" w:hAnsi="Times New Roman" w:cs="Times New Roman"/>
          <w:sz w:val="24"/>
          <w:szCs w:val="24"/>
          <w:lang w:val="ro-RO"/>
        </w:rPr>
        <w:t>personalului</w:t>
      </w:r>
      <w:r w:rsidRPr="00F11F76">
        <w:rPr>
          <w:rFonts w:ascii="Times New Roman" w:hAnsi="Times New Roman" w:cs="Times New Roman"/>
          <w:sz w:val="24"/>
          <w:szCs w:val="24"/>
          <w:lang w:val="ro-RO"/>
        </w:rPr>
        <w:t>, pierderi financiare mari și un impact major asupra activității Organizației;</w:t>
      </w:r>
    </w:p>
    <w:p w14:paraId="48248BF3" w14:textId="77777777" w:rsidR="00FD6F89" w:rsidRPr="00F11F76" w:rsidRDefault="00FD6F89" w:rsidP="00E03082">
      <w:pPr>
        <w:pStyle w:val="ListParagraph"/>
        <w:numPr>
          <w:ilvl w:val="0"/>
          <w:numId w:val="14"/>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 xml:space="preserve">sporit (3) – există probabilitate ridicată ca riscul să se </w:t>
      </w:r>
      <w:r w:rsidR="0061249B" w:rsidRPr="00F11F76">
        <w:rPr>
          <w:rFonts w:ascii="Times New Roman" w:hAnsi="Times New Roman" w:cs="Times New Roman"/>
          <w:sz w:val="24"/>
          <w:szCs w:val="24"/>
          <w:lang w:val="ro-RO"/>
        </w:rPr>
        <w:t>materializeze</w:t>
      </w:r>
      <w:r w:rsidRPr="00F11F76">
        <w:rPr>
          <w:rFonts w:ascii="Times New Roman" w:hAnsi="Times New Roman" w:cs="Times New Roman"/>
          <w:sz w:val="24"/>
          <w:szCs w:val="24"/>
          <w:lang w:val="ro-RO"/>
        </w:rPr>
        <w:t xml:space="preserve"> și să aibă consecințe majore pentru </w:t>
      </w:r>
      <w:r w:rsidR="005C67EB" w:rsidRPr="00F11F76">
        <w:rPr>
          <w:rFonts w:ascii="Times New Roman" w:hAnsi="Times New Roman" w:cs="Times New Roman"/>
          <w:sz w:val="24"/>
          <w:szCs w:val="24"/>
          <w:lang w:val="ro-RO"/>
        </w:rPr>
        <w:t xml:space="preserve"> activitatea Organizației, cum ar fi: sancțiuni moderate din partea organului de supraveghere, pierderea unui număr neînsemnat de clienți, pierderea personalului-cheie, pierderi financiare majore și un impact semnificativ asupra Organizației;</w:t>
      </w:r>
    </w:p>
    <w:p w14:paraId="3D19B70E" w14:textId="77777777" w:rsidR="005C67EB" w:rsidRPr="00F11F76" w:rsidRDefault="005C67EB" w:rsidP="00E03082">
      <w:pPr>
        <w:pStyle w:val="ListParagraph"/>
        <w:numPr>
          <w:ilvl w:val="0"/>
          <w:numId w:val="14"/>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 xml:space="preserve">mediu (2) – există probabilitatea redusă ca riscul să se materializeze </w:t>
      </w:r>
      <w:r w:rsidR="0061249B" w:rsidRPr="00F11F76">
        <w:rPr>
          <w:rFonts w:ascii="Times New Roman" w:hAnsi="Times New Roman" w:cs="Times New Roman"/>
          <w:sz w:val="24"/>
          <w:szCs w:val="24"/>
          <w:lang w:val="ro-RO"/>
        </w:rPr>
        <w:t>având</w:t>
      </w:r>
      <w:r w:rsidRPr="00F11F76">
        <w:rPr>
          <w:rFonts w:ascii="Times New Roman" w:hAnsi="Times New Roman" w:cs="Times New Roman"/>
          <w:sz w:val="24"/>
          <w:szCs w:val="24"/>
          <w:lang w:val="ro-RO"/>
        </w:rPr>
        <w:t xml:space="preserve"> consecințe nesemnificative asupra activității Organizației, cum ar fi: sancțiuni minore din partea organului de supraveghere, pierderea unui număr neînsemnat de clienți și </w:t>
      </w:r>
      <w:r w:rsidR="0061249B" w:rsidRPr="00F11F76">
        <w:rPr>
          <w:rFonts w:ascii="Times New Roman" w:hAnsi="Times New Roman" w:cs="Times New Roman"/>
          <w:sz w:val="24"/>
          <w:szCs w:val="24"/>
          <w:lang w:val="ro-RO"/>
        </w:rPr>
        <w:t>personal</w:t>
      </w:r>
      <w:r w:rsidRPr="00F11F76">
        <w:rPr>
          <w:rFonts w:ascii="Times New Roman" w:hAnsi="Times New Roman" w:cs="Times New Roman"/>
          <w:sz w:val="24"/>
          <w:szCs w:val="24"/>
          <w:lang w:val="ro-RO"/>
        </w:rPr>
        <w:t xml:space="preserve"> cheie, pierderi financiare neînsemnate;</w:t>
      </w:r>
    </w:p>
    <w:p w14:paraId="1E905C65" w14:textId="77777777" w:rsidR="005C67EB" w:rsidRPr="00F11F76" w:rsidRDefault="005C67EB" w:rsidP="00E03082">
      <w:pPr>
        <w:pStyle w:val="ListParagraph"/>
        <w:numPr>
          <w:ilvl w:val="0"/>
          <w:numId w:val="14"/>
        </w:num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scăzut (1) – în cazul materializării riscului dat nu există temeri semnificative privind activitatea Organizației.</w:t>
      </w:r>
    </w:p>
    <w:p w14:paraId="23354D09" w14:textId="77777777" w:rsidR="005C67EB" w:rsidRPr="00F11F76" w:rsidRDefault="005C67EB" w:rsidP="00F11F76">
      <w:pPr>
        <w:pStyle w:val="ListParagraph"/>
        <w:ind w:left="1620"/>
        <w:jc w:val="both"/>
        <w:rPr>
          <w:rFonts w:ascii="Times New Roman" w:hAnsi="Times New Roman" w:cs="Times New Roman"/>
          <w:sz w:val="24"/>
          <w:szCs w:val="24"/>
          <w:lang w:val="ro-RO"/>
        </w:rPr>
      </w:pPr>
    </w:p>
    <w:tbl>
      <w:tblPr>
        <w:tblStyle w:val="TableGrid"/>
        <w:tblW w:w="0" w:type="auto"/>
        <w:tblInd w:w="1620" w:type="dxa"/>
        <w:tblLook w:val="04A0" w:firstRow="1" w:lastRow="0" w:firstColumn="1" w:lastColumn="0" w:noHBand="0" w:noVBand="1"/>
      </w:tblPr>
      <w:tblGrid>
        <w:gridCol w:w="1288"/>
        <w:gridCol w:w="1288"/>
        <w:gridCol w:w="1288"/>
        <w:gridCol w:w="1288"/>
        <w:gridCol w:w="1289"/>
        <w:gridCol w:w="1289"/>
      </w:tblGrid>
      <w:tr w:rsidR="006341B0" w:rsidRPr="00F11F76" w14:paraId="0B928965" w14:textId="77777777" w:rsidTr="006341B0">
        <w:tc>
          <w:tcPr>
            <w:tcW w:w="1288" w:type="dxa"/>
            <w:vMerge w:val="restart"/>
          </w:tcPr>
          <w:p w14:paraId="4ED90A8A" w14:textId="77777777" w:rsidR="006341B0" w:rsidRPr="00F11F76" w:rsidRDefault="006341B0" w:rsidP="00F11F76">
            <w:pPr>
              <w:pStyle w:val="ListParagraph"/>
              <w:ind w:left="0"/>
              <w:jc w:val="both"/>
              <w:rPr>
                <w:rFonts w:ascii="Times New Roman" w:hAnsi="Times New Roman" w:cs="Times New Roman"/>
                <w:sz w:val="24"/>
                <w:szCs w:val="24"/>
                <w:lang w:val="ro-RO"/>
              </w:rPr>
            </w:pPr>
          </w:p>
          <w:p w14:paraId="777639C7" w14:textId="77777777" w:rsidR="006341B0" w:rsidRPr="00F11F76" w:rsidRDefault="006341B0" w:rsidP="00F11F76">
            <w:pPr>
              <w:pStyle w:val="ListParagraph"/>
              <w:ind w:left="0"/>
              <w:jc w:val="both"/>
              <w:rPr>
                <w:rFonts w:ascii="Times New Roman" w:hAnsi="Times New Roman" w:cs="Times New Roman"/>
                <w:b/>
                <w:sz w:val="24"/>
                <w:szCs w:val="24"/>
                <w:lang w:val="ro-RO"/>
              </w:rPr>
            </w:pPr>
            <w:r w:rsidRPr="00F11F76">
              <w:rPr>
                <w:rFonts w:ascii="Times New Roman" w:hAnsi="Times New Roman" w:cs="Times New Roman"/>
                <w:b/>
                <w:sz w:val="24"/>
                <w:szCs w:val="24"/>
                <w:lang w:val="ro-RO"/>
              </w:rPr>
              <w:t>Impact</w:t>
            </w:r>
          </w:p>
        </w:tc>
        <w:tc>
          <w:tcPr>
            <w:tcW w:w="1288" w:type="dxa"/>
          </w:tcPr>
          <w:p w14:paraId="0D938BD8" w14:textId="77777777" w:rsidR="006341B0" w:rsidRPr="00F11F76" w:rsidRDefault="006341B0" w:rsidP="00F11F76">
            <w:pPr>
              <w:pStyle w:val="ListParagraph"/>
              <w:ind w:left="0"/>
              <w:jc w:val="both"/>
              <w:rPr>
                <w:rFonts w:ascii="Times New Roman" w:hAnsi="Times New Roman" w:cs="Times New Roman"/>
                <w:sz w:val="24"/>
                <w:szCs w:val="24"/>
                <w:lang w:val="ro-RO"/>
              </w:rPr>
            </w:pPr>
            <w:r w:rsidRPr="00F11F76">
              <w:rPr>
                <w:rFonts w:ascii="Times New Roman" w:hAnsi="Times New Roman" w:cs="Times New Roman"/>
                <w:sz w:val="24"/>
                <w:szCs w:val="24"/>
                <w:highlight w:val="darkGray"/>
                <w:lang w:val="ro-RO"/>
              </w:rPr>
              <w:t>Major</w:t>
            </w:r>
          </w:p>
        </w:tc>
        <w:tc>
          <w:tcPr>
            <w:tcW w:w="1288" w:type="dxa"/>
          </w:tcPr>
          <w:p w14:paraId="70689D61" w14:textId="77777777" w:rsidR="006341B0" w:rsidRPr="00F11F76" w:rsidRDefault="006341B0" w:rsidP="00F11F76">
            <w:pPr>
              <w:pStyle w:val="ListParagraph"/>
              <w:ind w:left="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3</w:t>
            </w:r>
          </w:p>
        </w:tc>
        <w:tc>
          <w:tcPr>
            <w:tcW w:w="1288" w:type="dxa"/>
          </w:tcPr>
          <w:p w14:paraId="786A901D" w14:textId="77777777" w:rsidR="006341B0" w:rsidRPr="00F11F76" w:rsidRDefault="006341B0" w:rsidP="00F11F76">
            <w:pPr>
              <w:pStyle w:val="ListParagraph"/>
              <w:ind w:left="0"/>
              <w:jc w:val="both"/>
              <w:rPr>
                <w:rFonts w:ascii="Times New Roman" w:hAnsi="Times New Roman" w:cs="Times New Roman"/>
                <w:sz w:val="24"/>
                <w:szCs w:val="24"/>
                <w:lang w:val="ro-RO"/>
              </w:rPr>
            </w:pPr>
            <w:r w:rsidRPr="00F11F76">
              <w:rPr>
                <w:rFonts w:ascii="Times New Roman" w:hAnsi="Times New Roman" w:cs="Times New Roman"/>
                <w:sz w:val="24"/>
                <w:szCs w:val="24"/>
                <w:highlight w:val="lightGray"/>
                <w:lang w:val="ro-RO"/>
              </w:rPr>
              <w:t>Mediu</w:t>
            </w:r>
          </w:p>
        </w:tc>
        <w:tc>
          <w:tcPr>
            <w:tcW w:w="1289" w:type="dxa"/>
          </w:tcPr>
          <w:p w14:paraId="2B27AEBC" w14:textId="77777777" w:rsidR="006341B0" w:rsidRPr="00F11F76" w:rsidRDefault="006341B0" w:rsidP="00F11F76">
            <w:pPr>
              <w:pStyle w:val="ListParagraph"/>
              <w:ind w:left="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Sporit</w:t>
            </w:r>
          </w:p>
        </w:tc>
        <w:tc>
          <w:tcPr>
            <w:tcW w:w="1289" w:type="dxa"/>
          </w:tcPr>
          <w:p w14:paraId="2C672210" w14:textId="77777777" w:rsidR="006341B0" w:rsidRPr="00F11F76" w:rsidRDefault="006341B0" w:rsidP="00F11F76">
            <w:pPr>
              <w:pStyle w:val="ListParagraph"/>
              <w:ind w:left="0"/>
              <w:jc w:val="both"/>
              <w:rPr>
                <w:rFonts w:ascii="Times New Roman" w:hAnsi="Times New Roman" w:cs="Times New Roman"/>
                <w:sz w:val="24"/>
                <w:szCs w:val="24"/>
                <w:lang w:val="ro-RO"/>
              </w:rPr>
            </w:pPr>
            <w:r w:rsidRPr="00F11F76">
              <w:rPr>
                <w:rFonts w:ascii="Times New Roman" w:hAnsi="Times New Roman" w:cs="Times New Roman"/>
                <w:sz w:val="24"/>
                <w:szCs w:val="24"/>
                <w:highlight w:val="darkGray"/>
                <w:lang w:val="ro-RO"/>
              </w:rPr>
              <w:t>Extrem</w:t>
            </w:r>
          </w:p>
        </w:tc>
      </w:tr>
      <w:tr w:rsidR="006341B0" w:rsidRPr="00F11F76" w14:paraId="7C97BCCA" w14:textId="77777777" w:rsidTr="00C06FC3">
        <w:tc>
          <w:tcPr>
            <w:tcW w:w="1288" w:type="dxa"/>
            <w:vMerge/>
          </w:tcPr>
          <w:p w14:paraId="0FADA968" w14:textId="77777777" w:rsidR="006341B0" w:rsidRPr="00F11F76" w:rsidRDefault="006341B0" w:rsidP="00F11F76">
            <w:pPr>
              <w:pStyle w:val="ListParagraph"/>
              <w:ind w:left="0"/>
              <w:jc w:val="both"/>
              <w:rPr>
                <w:rFonts w:ascii="Times New Roman" w:hAnsi="Times New Roman" w:cs="Times New Roman"/>
                <w:sz w:val="24"/>
                <w:szCs w:val="24"/>
                <w:lang w:val="ro-RO"/>
              </w:rPr>
            </w:pPr>
          </w:p>
        </w:tc>
        <w:tc>
          <w:tcPr>
            <w:tcW w:w="1288" w:type="dxa"/>
          </w:tcPr>
          <w:p w14:paraId="1448B9B9" w14:textId="77777777" w:rsidR="006341B0" w:rsidRPr="00F11F76" w:rsidRDefault="006341B0" w:rsidP="00F11F76">
            <w:pPr>
              <w:pStyle w:val="ListParagraph"/>
              <w:ind w:left="0"/>
              <w:jc w:val="both"/>
              <w:rPr>
                <w:rFonts w:ascii="Times New Roman" w:hAnsi="Times New Roman" w:cs="Times New Roman"/>
                <w:sz w:val="24"/>
                <w:szCs w:val="24"/>
                <w:lang w:val="ro-RO"/>
              </w:rPr>
            </w:pPr>
            <w:r w:rsidRPr="00F11F76">
              <w:rPr>
                <w:rFonts w:ascii="Times New Roman" w:hAnsi="Times New Roman" w:cs="Times New Roman"/>
                <w:sz w:val="24"/>
                <w:szCs w:val="24"/>
                <w:highlight w:val="lightGray"/>
                <w:lang w:val="ro-RO"/>
              </w:rPr>
              <w:t>Moderat</w:t>
            </w:r>
          </w:p>
        </w:tc>
        <w:tc>
          <w:tcPr>
            <w:tcW w:w="1288" w:type="dxa"/>
          </w:tcPr>
          <w:p w14:paraId="4509B7DD" w14:textId="77777777" w:rsidR="006341B0" w:rsidRPr="00F11F76" w:rsidRDefault="006341B0" w:rsidP="00F11F76">
            <w:pPr>
              <w:pStyle w:val="ListParagraph"/>
              <w:ind w:left="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2</w:t>
            </w:r>
          </w:p>
        </w:tc>
        <w:tc>
          <w:tcPr>
            <w:tcW w:w="1288" w:type="dxa"/>
          </w:tcPr>
          <w:p w14:paraId="20DF61F8" w14:textId="77777777" w:rsidR="006341B0" w:rsidRPr="00F11F76" w:rsidRDefault="006341B0" w:rsidP="00F11F76">
            <w:pPr>
              <w:pStyle w:val="ListParagraph"/>
              <w:ind w:left="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Scăzut</w:t>
            </w:r>
          </w:p>
        </w:tc>
        <w:tc>
          <w:tcPr>
            <w:tcW w:w="1289" w:type="dxa"/>
          </w:tcPr>
          <w:p w14:paraId="34BE21EA" w14:textId="77777777" w:rsidR="006341B0" w:rsidRPr="00F11F76" w:rsidRDefault="006341B0" w:rsidP="00F11F76">
            <w:pPr>
              <w:pStyle w:val="ListParagraph"/>
              <w:ind w:left="0"/>
              <w:jc w:val="both"/>
              <w:rPr>
                <w:rFonts w:ascii="Times New Roman" w:hAnsi="Times New Roman" w:cs="Times New Roman"/>
                <w:sz w:val="24"/>
                <w:szCs w:val="24"/>
                <w:highlight w:val="lightGray"/>
                <w:lang w:val="ro-RO"/>
              </w:rPr>
            </w:pPr>
            <w:r w:rsidRPr="00F11F76">
              <w:rPr>
                <w:rFonts w:ascii="Times New Roman" w:hAnsi="Times New Roman" w:cs="Times New Roman"/>
                <w:sz w:val="24"/>
                <w:szCs w:val="24"/>
                <w:highlight w:val="lightGray"/>
                <w:lang w:val="ro-RO"/>
              </w:rPr>
              <w:t>Mediu</w:t>
            </w:r>
          </w:p>
        </w:tc>
        <w:tc>
          <w:tcPr>
            <w:tcW w:w="1289" w:type="dxa"/>
          </w:tcPr>
          <w:p w14:paraId="7D27D809" w14:textId="77777777" w:rsidR="006341B0" w:rsidRPr="00F11F76" w:rsidRDefault="006341B0" w:rsidP="00F11F76">
            <w:pPr>
              <w:pStyle w:val="ListParagraph"/>
              <w:ind w:left="0"/>
              <w:jc w:val="both"/>
              <w:rPr>
                <w:rFonts w:ascii="Times New Roman" w:hAnsi="Times New Roman" w:cs="Times New Roman"/>
                <w:sz w:val="24"/>
                <w:szCs w:val="24"/>
                <w:lang w:val="ro-RO"/>
              </w:rPr>
            </w:pPr>
            <w:r w:rsidRPr="00F11F76">
              <w:rPr>
                <w:rFonts w:ascii="Times New Roman" w:hAnsi="Times New Roman" w:cs="Times New Roman"/>
                <w:sz w:val="24"/>
                <w:szCs w:val="24"/>
                <w:highlight w:val="darkGray"/>
                <w:lang w:val="ro-RO"/>
              </w:rPr>
              <w:t>Sporit</w:t>
            </w:r>
          </w:p>
        </w:tc>
      </w:tr>
      <w:tr w:rsidR="006341B0" w:rsidRPr="00F11F76" w14:paraId="7F5735C4" w14:textId="77777777" w:rsidTr="006341B0">
        <w:tc>
          <w:tcPr>
            <w:tcW w:w="1288" w:type="dxa"/>
            <w:vMerge/>
            <w:tcBorders>
              <w:bottom w:val="single" w:sz="4" w:space="0" w:color="auto"/>
            </w:tcBorders>
          </w:tcPr>
          <w:p w14:paraId="64328465" w14:textId="77777777" w:rsidR="006341B0" w:rsidRPr="00F11F76" w:rsidRDefault="006341B0" w:rsidP="00F11F76">
            <w:pPr>
              <w:pStyle w:val="ListParagraph"/>
              <w:ind w:left="0"/>
              <w:jc w:val="both"/>
              <w:rPr>
                <w:rFonts w:ascii="Times New Roman" w:hAnsi="Times New Roman" w:cs="Times New Roman"/>
                <w:sz w:val="24"/>
                <w:szCs w:val="24"/>
                <w:lang w:val="ro-RO"/>
              </w:rPr>
            </w:pPr>
          </w:p>
        </w:tc>
        <w:tc>
          <w:tcPr>
            <w:tcW w:w="1288" w:type="dxa"/>
            <w:tcBorders>
              <w:bottom w:val="single" w:sz="4" w:space="0" w:color="auto"/>
            </w:tcBorders>
          </w:tcPr>
          <w:p w14:paraId="010E1001" w14:textId="77777777" w:rsidR="006341B0" w:rsidRPr="00F11F76" w:rsidRDefault="006341B0" w:rsidP="00F11F76">
            <w:pPr>
              <w:pStyle w:val="ListParagraph"/>
              <w:ind w:left="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Minor</w:t>
            </w:r>
          </w:p>
        </w:tc>
        <w:tc>
          <w:tcPr>
            <w:tcW w:w="1288" w:type="dxa"/>
            <w:tcBorders>
              <w:bottom w:val="single" w:sz="4" w:space="0" w:color="auto"/>
            </w:tcBorders>
          </w:tcPr>
          <w:p w14:paraId="1388ACC4" w14:textId="77777777" w:rsidR="006341B0" w:rsidRPr="00F11F76" w:rsidRDefault="006341B0" w:rsidP="00F11F76">
            <w:pPr>
              <w:pStyle w:val="ListParagraph"/>
              <w:ind w:left="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1</w:t>
            </w:r>
          </w:p>
        </w:tc>
        <w:tc>
          <w:tcPr>
            <w:tcW w:w="1288" w:type="dxa"/>
          </w:tcPr>
          <w:p w14:paraId="7D5889BB" w14:textId="77777777" w:rsidR="006341B0" w:rsidRPr="00F11F76" w:rsidRDefault="006341B0" w:rsidP="00F11F76">
            <w:pPr>
              <w:pStyle w:val="ListParagraph"/>
              <w:ind w:left="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Scăzut</w:t>
            </w:r>
          </w:p>
        </w:tc>
        <w:tc>
          <w:tcPr>
            <w:tcW w:w="1289" w:type="dxa"/>
          </w:tcPr>
          <w:p w14:paraId="48A8CEEB" w14:textId="77777777" w:rsidR="006341B0" w:rsidRPr="00F11F76" w:rsidRDefault="006341B0" w:rsidP="00F11F76">
            <w:pPr>
              <w:pStyle w:val="ListParagraph"/>
              <w:ind w:left="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Scăzut</w:t>
            </w:r>
          </w:p>
        </w:tc>
        <w:tc>
          <w:tcPr>
            <w:tcW w:w="1289" w:type="dxa"/>
          </w:tcPr>
          <w:p w14:paraId="0F16F8E6" w14:textId="77777777" w:rsidR="006341B0" w:rsidRPr="00F11F76" w:rsidRDefault="006341B0" w:rsidP="00F11F76">
            <w:pPr>
              <w:pStyle w:val="ListParagraph"/>
              <w:ind w:left="0"/>
              <w:jc w:val="both"/>
              <w:rPr>
                <w:rFonts w:ascii="Times New Roman" w:hAnsi="Times New Roman" w:cs="Times New Roman"/>
                <w:sz w:val="24"/>
                <w:szCs w:val="24"/>
                <w:lang w:val="ro-RO"/>
              </w:rPr>
            </w:pPr>
            <w:r w:rsidRPr="00F11F76">
              <w:rPr>
                <w:rFonts w:ascii="Times New Roman" w:hAnsi="Times New Roman" w:cs="Times New Roman"/>
                <w:sz w:val="24"/>
                <w:szCs w:val="24"/>
                <w:highlight w:val="lightGray"/>
                <w:lang w:val="ro-RO"/>
              </w:rPr>
              <w:t>Mediu</w:t>
            </w:r>
          </w:p>
        </w:tc>
      </w:tr>
      <w:tr w:rsidR="006341B0" w:rsidRPr="00F11F76" w14:paraId="6857D894" w14:textId="77777777" w:rsidTr="006341B0">
        <w:tc>
          <w:tcPr>
            <w:tcW w:w="1288" w:type="dxa"/>
            <w:tcBorders>
              <w:top w:val="single" w:sz="4" w:space="0" w:color="auto"/>
              <w:left w:val="nil"/>
              <w:bottom w:val="nil"/>
              <w:right w:val="nil"/>
            </w:tcBorders>
          </w:tcPr>
          <w:p w14:paraId="4FB69278" w14:textId="77777777" w:rsidR="006341B0" w:rsidRPr="00F11F76" w:rsidRDefault="006341B0" w:rsidP="00F11F76">
            <w:pPr>
              <w:pStyle w:val="ListParagraph"/>
              <w:ind w:left="0"/>
              <w:jc w:val="both"/>
              <w:rPr>
                <w:rFonts w:ascii="Times New Roman" w:hAnsi="Times New Roman" w:cs="Times New Roman"/>
                <w:sz w:val="24"/>
                <w:szCs w:val="24"/>
                <w:lang w:val="ro-RO"/>
              </w:rPr>
            </w:pPr>
          </w:p>
        </w:tc>
        <w:tc>
          <w:tcPr>
            <w:tcW w:w="1288" w:type="dxa"/>
            <w:tcBorders>
              <w:top w:val="single" w:sz="4" w:space="0" w:color="auto"/>
              <w:left w:val="nil"/>
              <w:bottom w:val="nil"/>
              <w:right w:val="single" w:sz="4" w:space="0" w:color="auto"/>
            </w:tcBorders>
          </w:tcPr>
          <w:p w14:paraId="2A1DDF96" w14:textId="77777777" w:rsidR="006341B0" w:rsidRPr="00F11F76" w:rsidRDefault="006341B0" w:rsidP="00F11F76">
            <w:pPr>
              <w:pStyle w:val="ListParagraph"/>
              <w:ind w:left="0"/>
              <w:jc w:val="both"/>
              <w:rPr>
                <w:rFonts w:ascii="Times New Roman" w:hAnsi="Times New Roman" w:cs="Times New Roman"/>
                <w:sz w:val="24"/>
                <w:szCs w:val="24"/>
                <w:lang w:val="ro-RO"/>
              </w:rPr>
            </w:pPr>
          </w:p>
        </w:tc>
        <w:tc>
          <w:tcPr>
            <w:tcW w:w="1288" w:type="dxa"/>
            <w:tcBorders>
              <w:top w:val="single" w:sz="4" w:space="0" w:color="auto"/>
              <w:left w:val="single" w:sz="4" w:space="0" w:color="auto"/>
              <w:bottom w:val="single" w:sz="4" w:space="0" w:color="auto"/>
            </w:tcBorders>
          </w:tcPr>
          <w:p w14:paraId="571736BC" w14:textId="77777777" w:rsidR="006341B0" w:rsidRPr="00F11F76" w:rsidRDefault="006341B0" w:rsidP="00F11F76">
            <w:pPr>
              <w:pStyle w:val="ListParagraph"/>
              <w:ind w:left="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Scor</w:t>
            </w:r>
          </w:p>
        </w:tc>
        <w:tc>
          <w:tcPr>
            <w:tcW w:w="1288" w:type="dxa"/>
            <w:tcBorders>
              <w:bottom w:val="single" w:sz="4" w:space="0" w:color="auto"/>
            </w:tcBorders>
          </w:tcPr>
          <w:p w14:paraId="309BC1CF" w14:textId="77777777" w:rsidR="006341B0" w:rsidRPr="00F11F76" w:rsidRDefault="006341B0" w:rsidP="00F11F76">
            <w:pPr>
              <w:pStyle w:val="ListParagraph"/>
              <w:ind w:left="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1</w:t>
            </w:r>
          </w:p>
        </w:tc>
        <w:tc>
          <w:tcPr>
            <w:tcW w:w="1289" w:type="dxa"/>
            <w:tcBorders>
              <w:bottom w:val="single" w:sz="4" w:space="0" w:color="auto"/>
            </w:tcBorders>
          </w:tcPr>
          <w:p w14:paraId="6266F12C" w14:textId="77777777" w:rsidR="006341B0" w:rsidRPr="00F11F76" w:rsidRDefault="006341B0" w:rsidP="00F11F76">
            <w:pPr>
              <w:pStyle w:val="ListParagraph"/>
              <w:ind w:left="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2</w:t>
            </w:r>
          </w:p>
        </w:tc>
        <w:tc>
          <w:tcPr>
            <w:tcW w:w="1289" w:type="dxa"/>
            <w:tcBorders>
              <w:bottom w:val="single" w:sz="4" w:space="0" w:color="auto"/>
            </w:tcBorders>
          </w:tcPr>
          <w:p w14:paraId="223F100F" w14:textId="77777777" w:rsidR="006341B0" w:rsidRPr="00F11F76" w:rsidRDefault="006341B0" w:rsidP="00F11F76">
            <w:pPr>
              <w:pStyle w:val="ListParagraph"/>
              <w:ind w:left="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3</w:t>
            </w:r>
          </w:p>
        </w:tc>
      </w:tr>
      <w:tr w:rsidR="006341B0" w:rsidRPr="00F11F76" w14:paraId="267C84A0" w14:textId="77777777" w:rsidTr="006341B0">
        <w:tc>
          <w:tcPr>
            <w:tcW w:w="1288" w:type="dxa"/>
            <w:tcBorders>
              <w:top w:val="nil"/>
              <w:left w:val="nil"/>
              <w:bottom w:val="nil"/>
              <w:right w:val="nil"/>
            </w:tcBorders>
          </w:tcPr>
          <w:p w14:paraId="0D1C8A66" w14:textId="77777777" w:rsidR="006341B0" w:rsidRPr="00F11F76" w:rsidRDefault="006341B0" w:rsidP="00F11F76">
            <w:pPr>
              <w:pStyle w:val="ListParagraph"/>
              <w:ind w:left="0"/>
              <w:jc w:val="both"/>
              <w:rPr>
                <w:rFonts w:ascii="Times New Roman" w:hAnsi="Times New Roman" w:cs="Times New Roman"/>
                <w:sz w:val="24"/>
                <w:szCs w:val="24"/>
                <w:lang w:val="ro-RO"/>
              </w:rPr>
            </w:pPr>
          </w:p>
        </w:tc>
        <w:tc>
          <w:tcPr>
            <w:tcW w:w="1288" w:type="dxa"/>
            <w:tcBorders>
              <w:top w:val="nil"/>
              <w:left w:val="nil"/>
              <w:bottom w:val="nil"/>
              <w:right w:val="nil"/>
            </w:tcBorders>
          </w:tcPr>
          <w:p w14:paraId="1AF61C5C" w14:textId="77777777" w:rsidR="006341B0" w:rsidRPr="00F11F76" w:rsidRDefault="006341B0" w:rsidP="00F11F76">
            <w:pPr>
              <w:pStyle w:val="ListParagraph"/>
              <w:ind w:left="0"/>
              <w:jc w:val="both"/>
              <w:rPr>
                <w:rFonts w:ascii="Times New Roman" w:hAnsi="Times New Roman" w:cs="Times New Roman"/>
                <w:sz w:val="24"/>
                <w:szCs w:val="24"/>
                <w:lang w:val="ro-RO"/>
              </w:rPr>
            </w:pPr>
          </w:p>
        </w:tc>
        <w:tc>
          <w:tcPr>
            <w:tcW w:w="1288" w:type="dxa"/>
            <w:tcBorders>
              <w:top w:val="single" w:sz="4" w:space="0" w:color="auto"/>
              <w:left w:val="nil"/>
              <w:bottom w:val="nil"/>
              <w:right w:val="single" w:sz="4" w:space="0" w:color="auto"/>
            </w:tcBorders>
          </w:tcPr>
          <w:p w14:paraId="6EAABCD3" w14:textId="77777777" w:rsidR="006341B0" w:rsidRPr="00F11F76" w:rsidRDefault="006341B0" w:rsidP="00F11F76">
            <w:pPr>
              <w:pStyle w:val="ListParagraph"/>
              <w:ind w:left="0"/>
              <w:jc w:val="both"/>
              <w:rPr>
                <w:rFonts w:ascii="Times New Roman" w:hAnsi="Times New Roman" w:cs="Times New Roman"/>
                <w:sz w:val="24"/>
                <w:szCs w:val="24"/>
                <w:lang w:val="ro-RO"/>
              </w:rPr>
            </w:pPr>
          </w:p>
        </w:tc>
        <w:tc>
          <w:tcPr>
            <w:tcW w:w="1288" w:type="dxa"/>
            <w:tcBorders>
              <w:left w:val="single" w:sz="4" w:space="0" w:color="auto"/>
            </w:tcBorders>
          </w:tcPr>
          <w:p w14:paraId="271AEED4" w14:textId="77777777" w:rsidR="006341B0" w:rsidRPr="00F11F76" w:rsidRDefault="006341B0" w:rsidP="00F11F76">
            <w:pPr>
              <w:pStyle w:val="ListParagraph"/>
              <w:ind w:left="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Puțin probabil</w:t>
            </w:r>
          </w:p>
        </w:tc>
        <w:tc>
          <w:tcPr>
            <w:tcW w:w="1289" w:type="dxa"/>
          </w:tcPr>
          <w:p w14:paraId="4F48FE60" w14:textId="77777777" w:rsidR="006341B0" w:rsidRPr="00F11F76" w:rsidRDefault="006341B0" w:rsidP="00F11F76">
            <w:pPr>
              <w:pStyle w:val="ListParagraph"/>
              <w:ind w:left="0"/>
              <w:jc w:val="both"/>
              <w:rPr>
                <w:rFonts w:ascii="Times New Roman" w:hAnsi="Times New Roman" w:cs="Times New Roman"/>
                <w:sz w:val="24"/>
                <w:szCs w:val="24"/>
                <w:lang w:val="ro-RO"/>
              </w:rPr>
            </w:pPr>
            <w:r w:rsidRPr="00F11F76">
              <w:rPr>
                <w:rFonts w:ascii="Times New Roman" w:hAnsi="Times New Roman" w:cs="Times New Roman"/>
                <w:sz w:val="24"/>
                <w:szCs w:val="24"/>
                <w:highlight w:val="lightGray"/>
                <w:lang w:val="ro-RO"/>
              </w:rPr>
              <w:t>Probabil</w:t>
            </w:r>
          </w:p>
        </w:tc>
        <w:tc>
          <w:tcPr>
            <w:tcW w:w="1289" w:type="dxa"/>
          </w:tcPr>
          <w:p w14:paraId="3E538E07" w14:textId="77777777" w:rsidR="006341B0" w:rsidRPr="00F11F76" w:rsidRDefault="006341B0" w:rsidP="00F11F76">
            <w:pPr>
              <w:pStyle w:val="ListParagraph"/>
              <w:ind w:left="0"/>
              <w:jc w:val="both"/>
              <w:rPr>
                <w:rFonts w:ascii="Times New Roman" w:hAnsi="Times New Roman" w:cs="Times New Roman"/>
                <w:sz w:val="24"/>
                <w:szCs w:val="24"/>
                <w:lang w:val="ro-RO"/>
              </w:rPr>
            </w:pPr>
            <w:r w:rsidRPr="00F11F76">
              <w:rPr>
                <w:rFonts w:ascii="Times New Roman" w:hAnsi="Times New Roman" w:cs="Times New Roman"/>
                <w:sz w:val="24"/>
                <w:szCs w:val="24"/>
                <w:highlight w:val="darkGray"/>
                <w:lang w:val="ro-RO"/>
              </w:rPr>
              <w:t>Foarte probabil</w:t>
            </w:r>
          </w:p>
        </w:tc>
      </w:tr>
      <w:tr w:rsidR="006341B0" w:rsidRPr="00F11F76" w14:paraId="727FD370" w14:textId="77777777" w:rsidTr="006341B0">
        <w:tc>
          <w:tcPr>
            <w:tcW w:w="1288" w:type="dxa"/>
            <w:tcBorders>
              <w:top w:val="nil"/>
              <w:left w:val="nil"/>
              <w:bottom w:val="nil"/>
              <w:right w:val="nil"/>
            </w:tcBorders>
          </w:tcPr>
          <w:p w14:paraId="11F8BF0D" w14:textId="77777777" w:rsidR="006341B0" w:rsidRPr="00F11F76" w:rsidRDefault="006341B0" w:rsidP="00F11F76">
            <w:pPr>
              <w:pStyle w:val="ListParagraph"/>
              <w:ind w:left="0"/>
              <w:jc w:val="both"/>
              <w:rPr>
                <w:rFonts w:ascii="Times New Roman" w:hAnsi="Times New Roman" w:cs="Times New Roman"/>
                <w:sz w:val="24"/>
                <w:szCs w:val="24"/>
                <w:lang w:val="ro-RO"/>
              </w:rPr>
            </w:pPr>
          </w:p>
        </w:tc>
        <w:tc>
          <w:tcPr>
            <w:tcW w:w="1288" w:type="dxa"/>
            <w:tcBorders>
              <w:top w:val="nil"/>
              <w:left w:val="nil"/>
              <w:bottom w:val="nil"/>
              <w:right w:val="nil"/>
            </w:tcBorders>
          </w:tcPr>
          <w:p w14:paraId="0EC60FCC" w14:textId="77777777" w:rsidR="006341B0" w:rsidRPr="00F11F76" w:rsidRDefault="006341B0" w:rsidP="00F11F76">
            <w:pPr>
              <w:pStyle w:val="ListParagraph"/>
              <w:ind w:left="0"/>
              <w:jc w:val="both"/>
              <w:rPr>
                <w:rFonts w:ascii="Times New Roman" w:hAnsi="Times New Roman" w:cs="Times New Roman"/>
                <w:sz w:val="24"/>
                <w:szCs w:val="24"/>
                <w:lang w:val="ro-RO"/>
              </w:rPr>
            </w:pPr>
          </w:p>
        </w:tc>
        <w:tc>
          <w:tcPr>
            <w:tcW w:w="1288" w:type="dxa"/>
            <w:tcBorders>
              <w:top w:val="nil"/>
              <w:left w:val="nil"/>
              <w:bottom w:val="nil"/>
              <w:right w:val="single" w:sz="4" w:space="0" w:color="auto"/>
            </w:tcBorders>
          </w:tcPr>
          <w:p w14:paraId="5F58AFD1" w14:textId="77777777" w:rsidR="006341B0" w:rsidRPr="00F11F76" w:rsidRDefault="006341B0" w:rsidP="00F11F76">
            <w:pPr>
              <w:pStyle w:val="ListParagraph"/>
              <w:ind w:left="0"/>
              <w:jc w:val="both"/>
              <w:rPr>
                <w:rFonts w:ascii="Times New Roman" w:hAnsi="Times New Roman" w:cs="Times New Roman"/>
                <w:sz w:val="24"/>
                <w:szCs w:val="24"/>
                <w:lang w:val="ro-RO"/>
              </w:rPr>
            </w:pPr>
          </w:p>
        </w:tc>
        <w:tc>
          <w:tcPr>
            <w:tcW w:w="3866" w:type="dxa"/>
            <w:gridSpan w:val="3"/>
            <w:tcBorders>
              <w:left w:val="single" w:sz="4" w:space="0" w:color="auto"/>
            </w:tcBorders>
          </w:tcPr>
          <w:p w14:paraId="685DD34B" w14:textId="77777777" w:rsidR="006341B0" w:rsidRPr="00F11F76" w:rsidRDefault="006341B0" w:rsidP="00F11F76">
            <w:pPr>
              <w:pStyle w:val="ListParagraph"/>
              <w:ind w:left="0"/>
              <w:jc w:val="both"/>
              <w:rPr>
                <w:rFonts w:ascii="Times New Roman" w:hAnsi="Times New Roman" w:cs="Times New Roman"/>
                <w:b/>
                <w:sz w:val="24"/>
                <w:szCs w:val="24"/>
                <w:lang w:val="ro-RO"/>
              </w:rPr>
            </w:pPr>
            <w:r w:rsidRPr="00F11F76">
              <w:rPr>
                <w:rFonts w:ascii="Times New Roman" w:hAnsi="Times New Roman" w:cs="Times New Roman"/>
                <w:b/>
                <w:sz w:val="24"/>
                <w:szCs w:val="24"/>
                <w:lang w:val="ro-RO"/>
              </w:rPr>
              <w:t>Probabilitatea</w:t>
            </w:r>
          </w:p>
        </w:tc>
      </w:tr>
    </w:tbl>
    <w:p w14:paraId="2CDF5ECF" w14:textId="77777777" w:rsidR="00E463A4" w:rsidRPr="00F11F76" w:rsidRDefault="00E463A4" w:rsidP="00F11F76">
      <w:pPr>
        <w:jc w:val="both"/>
        <w:rPr>
          <w:rFonts w:ascii="Times New Roman" w:hAnsi="Times New Roman" w:cs="Times New Roman"/>
          <w:sz w:val="24"/>
          <w:szCs w:val="24"/>
          <w:lang w:val="ro-RO"/>
        </w:rPr>
      </w:pPr>
    </w:p>
    <w:p w14:paraId="1044ED10" w14:textId="403FD41F" w:rsidR="005C67EB" w:rsidRPr="00F11F76" w:rsidRDefault="00BA1984" w:rsidP="00F11F76">
      <w:pPr>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E463A4" w:rsidRPr="00F11F76">
        <w:rPr>
          <w:rFonts w:ascii="Times New Roman" w:hAnsi="Times New Roman" w:cs="Times New Roman"/>
          <w:sz w:val="24"/>
          <w:szCs w:val="24"/>
          <w:lang w:val="ro-RO"/>
        </w:rPr>
        <w:t xml:space="preserve">.4 În sensul implementării și </w:t>
      </w:r>
      <w:r w:rsidR="0061249B" w:rsidRPr="00F11F76">
        <w:rPr>
          <w:rFonts w:ascii="Times New Roman" w:hAnsi="Times New Roman" w:cs="Times New Roman"/>
          <w:sz w:val="24"/>
          <w:szCs w:val="24"/>
          <w:lang w:val="ro-RO"/>
        </w:rPr>
        <w:t>utilizând</w:t>
      </w:r>
      <w:r w:rsidR="00E463A4" w:rsidRPr="00F11F76">
        <w:rPr>
          <w:rFonts w:ascii="Times New Roman" w:hAnsi="Times New Roman" w:cs="Times New Roman"/>
          <w:sz w:val="24"/>
          <w:szCs w:val="24"/>
          <w:lang w:val="ro-RO"/>
        </w:rPr>
        <w:t xml:space="preserve"> metoda evaluării calitative, Organizația efectuează evaluarea riscurilor de spălarea banilor și finanțarea terorismului în domeniul său de activitate și întocmește un raport scris în acest sens.</w:t>
      </w:r>
    </w:p>
    <w:p w14:paraId="3F474BB0" w14:textId="493A5359" w:rsidR="00E463A4" w:rsidRPr="00F11F76" w:rsidRDefault="00BA1984" w:rsidP="00F11F76">
      <w:pPr>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E463A4" w:rsidRPr="00F11F76">
        <w:rPr>
          <w:rFonts w:ascii="Times New Roman" w:hAnsi="Times New Roman" w:cs="Times New Roman"/>
          <w:sz w:val="24"/>
          <w:szCs w:val="24"/>
          <w:lang w:val="ro-RO"/>
        </w:rPr>
        <w:t xml:space="preserve">.5 </w:t>
      </w:r>
      <w:r w:rsidR="0061249B" w:rsidRPr="00F11F76">
        <w:rPr>
          <w:rFonts w:ascii="Times New Roman" w:hAnsi="Times New Roman" w:cs="Times New Roman"/>
          <w:sz w:val="24"/>
          <w:szCs w:val="24"/>
          <w:lang w:val="ro-RO"/>
        </w:rPr>
        <w:t>Ținând</w:t>
      </w:r>
      <w:r w:rsidR="00E463A4" w:rsidRPr="00F11F76">
        <w:rPr>
          <w:rFonts w:ascii="Times New Roman" w:hAnsi="Times New Roman" w:cs="Times New Roman"/>
          <w:sz w:val="24"/>
          <w:szCs w:val="24"/>
          <w:lang w:val="ro-RO"/>
        </w:rPr>
        <w:t xml:space="preserve"> cont de natura, mărimea, diversitatea și complexitatea activității organizației, Raportul abordează cel puțin următoarele aspecte:</w:t>
      </w:r>
    </w:p>
    <w:p w14:paraId="2D2F86B7" w14:textId="77777777" w:rsidR="00E463A4" w:rsidRPr="00F11F76" w:rsidRDefault="00E463A4" w:rsidP="00F11F76">
      <w:p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a) țările și zonele geografice în care Organizația este expusă riscului, fie prin propriile activități sau prin activitățile clienților;</w:t>
      </w:r>
    </w:p>
    <w:p w14:paraId="134FE3EA" w14:textId="77777777" w:rsidR="00E463A4" w:rsidRPr="00F11F76" w:rsidRDefault="00E463A4" w:rsidP="00F11F76">
      <w:p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b) produsele/serviciile oferite</w:t>
      </w:r>
      <w:r w:rsidR="00053D74" w:rsidRPr="00F11F76">
        <w:rPr>
          <w:rFonts w:ascii="Times New Roman" w:hAnsi="Times New Roman" w:cs="Times New Roman"/>
          <w:sz w:val="24"/>
          <w:szCs w:val="24"/>
          <w:lang w:val="ro-RO"/>
        </w:rPr>
        <w:t>/prestate;</w:t>
      </w:r>
    </w:p>
    <w:p w14:paraId="7AE73BC8" w14:textId="77777777" w:rsidR="00053D74" w:rsidRPr="00F11F76" w:rsidRDefault="00053D74" w:rsidP="00F11F76">
      <w:p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c) clienții și tranzacțiile (operațiunile) cu grad de risc sporit;</w:t>
      </w:r>
    </w:p>
    <w:p w14:paraId="13ED5534" w14:textId="77777777" w:rsidR="00053D74" w:rsidRPr="00F11F76" w:rsidRDefault="00053D74" w:rsidP="00F11F76">
      <w:pPr>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precum și ponderea (individuală sau în combinare) și impactul acestora asupra activității Organizației.</w:t>
      </w:r>
    </w:p>
    <w:p w14:paraId="12EA74F3" w14:textId="505ED4F3" w:rsidR="00053D74" w:rsidRPr="00F11F76" w:rsidRDefault="00BA1984" w:rsidP="00F11F76">
      <w:pPr>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053D74" w:rsidRPr="00F11F76">
        <w:rPr>
          <w:rFonts w:ascii="Times New Roman" w:hAnsi="Times New Roman" w:cs="Times New Roman"/>
          <w:sz w:val="24"/>
          <w:szCs w:val="24"/>
          <w:lang w:val="ro-RO"/>
        </w:rPr>
        <w:t xml:space="preserve">.6 Ca urmare a </w:t>
      </w:r>
      <w:r w:rsidR="0061249B" w:rsidRPr="00F11F76">
        <w:rPr>
          <w:rFonts w:ascii="Times New Roman" w:hAnsi="Times New Roman" w:cs="Times New Roman"/>
          <w:sz w:val="24"/>
          <w:szCs w:val="24"/>
          <w:lang w:val="ro-RO"/>
        </w:rPr>
        <w:t>rezultatelor</w:t>
      </w:r>
      <w:r w:rsidR="00053D74" w:rsidRPr="00F11F76">
        <w:rPr>
          <w:rFonts w:ascii="Times New Roman" w:hAnsi="Times New Roman" w:cs="Times New Roman"/>
          <w:sz w:val="24"/>
          <w:szCs w:val="24"/>
          <w:lang w:val="ro-RO"/>
        </w:rPr>
        <w:t xml:space="preserve"> evaluării riscurilor de spălare a banilor și finanțare a terorismului, conținute în Raportul scris și în baza abordării bazate pe risc, Organizația stabilește și pune </w:t>
      </w:r>
      <w:r w:rsidR="002B78E5">
        <w:rPr>
          <w:rFonts w:ascii="Times New Roman" w:hAnsi="Times New Roman" w:cs="Times New Roman"/>
          <w:sz w:val="24"/>
          <w:szCs w:val="24"/>
          <w:lang w:val="ro-RO"/>
        </w:rPr>
        <w:t>î</w:t>
      </w:r>
      <w:r w:rsidR="00053D74" w:rsidRPr="00F11F76">
        <w:rPr>
          <w:rFonts w:ascii="Times New Roman" w:hAnsi="Times New Roman" w:cs="Times New Roman"/>
          <w:sz w:val="24"/>
          <w:szCs w:val="24"/>
          <w:lang w:val="ro-RO"/>
        </w:rPr>
        <w:t>n aplicare acțiuni de minimizare și gestionarea riscurilor identificate.</w:t>
      </w:r>
    </w:p>
    <w:p w14:paraId="47954593" w14:textId="77777777" w:rsidR="00053D74" w:rsidRPr="00F11F76" w:rsidRDefault="00053D74" w:rsidP="00F11F76">
      <w:pPr>
        <w:jc w:val="both"/>
        <w:rPr>
          <w:rFonts w:ascii="Times New Roman" w:hAnsi="Times New Roman" w:cs="Times New Roman"/>
          <w:sz w:val="24"/>
          <w:szCs w:val="24"/>
          <w:lang w:val="ro-RO"/>
        </w:rPr>
      </w:pPr>
    </w:p>
    <w:p w14:paraId="449AF431" w14:textId="1AB8890C" w:rsidR="00C02039" w:rsidRPr="00E3467D" w:rsidRDefault="00C02039" w:rsidP="00E03082">
      <w:pPr>
        <w:pStyle w:val="Heading1"/>
        <w:numPr>
          <w:ilvl w:val="0"/>
          <w:numId w:val="21"/>
        </w:numPr>
        <w:rPr>
          <w:rFonts w:cs="Times New Roman"/>
          <w:b/>
          <w:sz w:val="24"/>
          <w:szCs w:val="24"/>
          <w:lang w:val="ro-RO"/>
        </w:rPr>
      </w:pPr>
      <w:r w:rsidRPr="00E3467D">
        <w:rPr>
          <w:rFonts w:cs="Times New Roman"/>
          <w:b/>
          <w:sz w:val="24"/>
          <w:szCs w:val="24"/>
          <w:lang w:val="ro-RO"/>
        </w:rPr>
        <w:t>Dispoziții finale</w:t>
      </w:r>
    </w:p>
    <w:p w14:paraId="3DBD46B6" w14:textId="7FF227E8" w:rsidR="00C02039" w:rsidRPr="00E3467D" w:rsidRDefault="005471E3" w:rsidP="00E03082">
      <w:pPr>
        <w:pStyle w:val="ListParagraph"/>
        <w:numPr>
          <w:ilvl w:val="1"/>
          <w:numId w:val="21"/>
        </w:numPr>
        <w:ind w:left="0" w:firstLine="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Prezentul Regulament</w:t>
      </w:r>
      <w:r w:rsidR="00C02039" w:rsidRPr="00F11F76">
        <w:rPr>
          <w:rFonts w:ascii="Times New Roman" w:hAnsi="Times New Roman" w:cs="Times New Roman"/>
          <w:sz w:val="24"/>
          <w:szCs w:val="24"/>
          <w:lang w:val="ro-RO"/>
        </w:rPr>
        <w:t xml:space="preserve"> intră în vigoare din data aprobării de către </w:t>
      </w:r>
      <w:r w:rsidR="00E3467D">
        <w:rPr>
          <w:rFonts w:ascii="Times New Roman" w:hAnsi="Times New Roman" w:cs="Times New Roman"/>
          <w:sz w:val="24"/>
          <w:szCs w:val="24"/>
          <w:lang w:val="ro-RO"/>
        </w:rPr>
        <w:t>Asociatul unic al Organizației.</w:t>
      </w:r>
      <w:r w:rsidR="00E3467D" w:rsidRPr="00E3467D">
        <w:rPr>
          <w:rFonts w:ascii="Times New Roman" w:hAnsi="Times New Roman" w:cs="Times New Roman"/>
          <w:sz w:val="24"/>
          <w:szCs w:val="24"/>
          <w:lang w:val="ro-RO"/>
        </w:rPr>
        <w:t xml:space="preserve"> Persoana responsabilă </w:t>
      </w:r>
      <w:r w:rsidR="00E3467D">
        <w:rPr>
          <w:rFonts w:ascii="Times New Roman" w:hAnsi="Times New Roman" w:cs="Times New Roman"/>
          <w:sz w:val="24"/>
          <w:szCs w:val="24"/>
          <w:lang w:val="ro-RO"/>
        </w:rPr>
        <w:t>de elaborarea și aprobarea politicilor ce ține de activitatea</w:t>
      </w:r>
      <w:r w:rsidR="00E3467D" w:rsidRPr="00E3467D">
        <w:rPr>
          <w:rFonts w:ascii="Times New Roman" w:hAnsi="Times New Roman" w:cs="Times New Roman"/>
          <w:sz w:val="24"/>
          <w:szCs w:val="24"/>
          <w:lang w:val="ro-RO"/>
        </w:rPr>
        <w:t xml:space="preserve"> Organizație</w:t>
      </w:r>
      <w:r w:rsidR="00E3467D">
        <w:rPr>
          <w:rFonts w:ascii="Times New Roman" w:hAnsi="Times New Roman" w:cs="Times New Roman"/>
          <w:sz w:val="24"/>
          <w:szCs w:val="24"/>
          <w:lang w:val="ro-RO"/>
        </w:rPr>
        <w:t xml:space="preserve"> este asociatul unic al Organizației</w:t>
      </w:r>
      <w:r w:rsidR="00E3467D" w:rsidRPr="00E3467D">
        <w:rPr>
          <w:rFonts w:ascii="Times New Roman" w:hAnsi="Times New Roman" w:cs="Times New Roman"/>
          <w:sz w:val="24"/>
          <w:szCs w:val="24"/>
          <w:lang w:val="ro-RO"/>
        </w:rPr>
        <w:t>.</w:t>
      </w:r>
    </w:p>
    <w:p w14:paraId="5D60E4E8" w14:textId="2F989D60" w:rsidR="00C02039" w:rsidRPr="00F11F76" w:rsidRDefault="005471E3" w:rsidP="00E03082">
      <w:pPr>
        <w:pStyle w:val="ListParagraph"/>
        <w:numPr>
          <w:ilvl w:val="1"/>
          <w:numId w:val="21"/>
        </w:numPr>
        <w:ind w:left="0" w:firstLine="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Prezentul Regulament va fi adus</w:t>
      </w:r>
      <w:r w:rsidR="00C02039" w:rsidRPr="00F11F76">
        <w:rPr>
          <w:rFonts w:ascii="Times New Roman" w:hAnsi="Times New Roman" w:cs="Times New Roman"/>
          <w:sz w:val="24"/>
          <w:szCs w:val="24"/>
          <w:lang w:val="ro-RO"/>
        </w:rPr>
        <w:t xml:space="preserve"> la cunoștință </w:t>
      </w:r>
      <w:r w:rsidR="002B78E5">
        <w:rPr>
          <w:rFonts w:ascii="Times New Roman" w:hAnsi="Times New Roman" w:cs="Times New Roman"/>
          <w:sz w:val="24"/>
          <w:szCs w:val="24"/>
          <w:lang w:val="ro-RO"/>
        </w:rPr>
        <w:t>ofițerilor de</w:t>
      </w:r>
      <w:r w:rsidR="00C02039" w:rsidRPr="00F11F76">
        <w:rPr>
          <w:rFonts w:ascii="Times New Roman" w:hAnsi="Times New Roman" w:cs="Times New Roman"/>
          <w:sz w:val="24"/>
          <w:szCs w:val="24"/>
          <w:lang w:val="ro-RO"/>
        </w:rPr>
        <w:t xml:space="preserve"> creditare sub semnătura personală.</w:t>
      </w:r>
    </w:p>
    <w:sectPr w:rsidR="00C02039" w:rsidRPr="00F11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1D23"/>
    <w:multiLevelType w:val="hybridMultilevel"/>
    <w:tmpl w:val="13B8D2B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13107152"/>
    <w:multiLevelType w:val="hybridMultilevel"/>
    <w:tmpl w:val="E9723F8A"/>
    <w:lvl w:ilvl="0" w:tplc="F1F0237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319556F"/>
    <w:multiLevelType w:val="multilevel"/>
    <w:tmpl w:val="A29E36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5D1BAE"/>
    <w:multiLevelType w:val="hybridMultilevel"/>
    <w:tmpl w:val="03A88DA6"/>
    <w:lvl w:ilvl="0" w:tplc="5FF8289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D5C63EB"/>
    <w:multiLevelType w:val="hybridMultilevel"/>
    <w:tmpl w:val="A568FEB6"/>
    <w:lvl w:ilvl="0" w:tplc="5B9E577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372F4316"/>
    <w:multiLevelType w:val="hybridMultilevel"/>
    <w:tmpl w:val="EF9493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AA74C33"/>
    <w:multiLevelType w:val="hybridMultilevel"/>
    <w:tmpl w:val="EE66464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15:restartNumberingAfterBreak="0">
    <w:nsid w:val="44400FA5"/>
    <w:multiLevelType w:val="hybridMultilevel"/>
    <w:tmpl w:val="37ECA128"/>
    <w:lvl w:ilvl="0" w:tplc="47FAB612">
      <w:start w:val="1"/>
      <w:numFmt w:val="lowerLetter"/>
      <w:lvlText w:val="%1)"/>
      <w:lvlJc w:val="left"/>
      <w:pPr>
        <w:ind w:left="540" w:hanging="360"/>
      </w:pPr>
      <w:rPr>
        <w:rFonts w:hint="default"/>
      </w:rPr>
    </w:lvl>
    <w:lvl w:ilvl="1" w:tplc="FEF0DFD2">
      <w:start w:val="1"/>
      <w:numFmt w:val="lowerLetter"/>
      <w:lvlText w:val="%2)"/>
      <w:lvlJc w:val="left"/>
      <w:pPr>
        <w:ind w:left="1260" w:hanging="360"/>
      </w:pPr>
      <w:rPr>
        <w:rFonts w:ascii="Times New Roman" w:eastAsiaTheme="minorHAnsi" w:hAnsi="Times New Roman" w:cs="Times New Roman"/>
      </w:rPr>
    </w:lvl>
    <w:lvl w:ilvl="2" w:tplc="0819001B" w:tentative="1">
      <w:start w:val="1"/>
      <w:numFmt w:val="lowerRoman"/>
      <w:lvlText w:val="%3."/>
      <w:lvlJc w:val="right"/>
      <w:pPr>
        <w:ind w:left="1980" w:hanging="180"/>
      </w:pPr>
    </w:lvl>
    <w:lvl w:ilvl="3" w:tplc="0819000F" w:tentative="1">
      <w:start w:val="1"/>
      <w:numFmt w:val="decimal"/>
      <w:lvlText w:val="%4."/>
      <w:lvlJc w:val="left"/>
      <w:pPr>
        <w:ind w:left="2700" w:hanging="360"/>
      </w:pPr>
    </w:lvl>
    <w:lvl w:ilvl="4" w:tplc="08190019" w:tentative="1">
      <w:start w:val="1"/>
      <w:numFmt w:val="lowerLetter"/>
      <w:lvlText w:val="%5."/>
      <w:lvlJc w:val="left"/>
      <w:pPr>
        <w:ind w:left="3420" w:hanging="360"/>
      </w:pPr>
    </w:lvl>
    <w:lvl w:ilvl="5" w:tplc="0819001B" w:tentative="1">
      <w:start w:val="1"/>
      <w:numFmt w:val="lowerRoman"/>
      <w:lvlText w:val="%6."/>
      <w:lvlJc w:val="right"/>
      <w:pPr>
        <w:ind w:left="4140" w:hanging="180"/>
      </w:pPr>
    </w:lvl>
    <w:lvl w:ilvl="6" w:tplc="0819000F" w:tentative="1">
      <w:start w:val="1"/>
      <w:numFmt w:val="decimal"/>
      <w:lvlText w:val="%7."/>
      <w:lvlJc w:val="left"/>
      <w:pPr>
        <w:ind w:left="4860" w:hanging="360"/>
      </w:pPr>
    </w:lvl>
    <w:lvl w:ilvl="7" w:tplc="08190019" w:tentative="1">
      <w:start w:val="1"/>
      <w:numFmt w:val="lowerLetter"/>
      <w:lvlText w:val="%8."/>
      <w:lvlJc w:val="left"/>
      <w:pPr>
        <w:ind w:left="5580" w:hanging="360"/>
      </w:pPr>
    </w:lvl>
    <w:lvl w:ilvl="8" w:tplc="0819001B" w:tentative="1">
      <w:start w:val="1"/>
      <w:numFmt w:val="lowerRoman"/>
      <w:lvlText w:val="%9."/>
      <w:lvlJc w:val="right"/>
      <w:pPr>
        <w:ind w:left="6300" w:hanging="180"/>
      </w:pPr>
    </w:lvl>
  </w:abstractNum>
  <w:abstractNum w:abstractNumId="8" w15:restartNumberingAfterBreak="0">
    <w:nsid w:val="454648E7"/>
    <w:multiLevelType w:val="hybridMultilevel"/>
    <w:tmpl w:val="B2304E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023D64"/>
    <w:multiLevelType w:val="multilevel"/>
    <w:tmpl w:val="E07CAB74"/>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F63E7E"/>
    <w:multiLevelType w:val="hybridMultilevel"/>
    <w:tmpl w:val="550E6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4C9618C"/>
    <w:multiLevelType w:val="hybridMultilevel"/>
    <w:tmpl w:val="1D5CC9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D86D41"/>
    <w:multiLevelType w:val="hybridMultilevel"/>
    <w:tmpl w:val="89A2A62A"/>
    <w:lvl w:ilvl="0" w:tplc="1F2AF9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8F02C4"/>
    <w:multiLevelType w:val="hybridMultilevel"/>
    <w:tmpl w:val="91748556"/>
    <w:lvl w:ilvl="0" w:tplc="430A67A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5A013339"/>
    <w:multiLevelType w:val="multilevel"/>
    <w:tmpl w:val="AF409DC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E412894"/>
    <w:multiLevelType w:val="hybridMultilevel"/>
    <w:tmpl w:val="5C42D898"/>
    <w:lvl w:ilvl="0" w:tplc="01940B2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5EAD6912"/>
    <w:multiLevelType w:val="multilevel"/>
    <w:tmpl w:val="67360A16"/>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670B55A7"/>
    <w:multiLevelType w:val="multilevel"/>
    <w:tmpl w:val="90A215C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ED941C1"/>
    <w:multiLevelType w:val="multilevel"/>
    <w:tmpl w:val="A836CC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6863B5"/>
    <w:multiLevelType w:val="multilevel"/>
    <w:tmpl w:val="D7682A9E"/>
    <w:lvl w:ilvl="0">
      <w:start w:val="4"/>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778B5501"/>
    <w:multiLevelType w:val="hybridMultilevel"/>
    <w:tmpl w:val="FA16BACC"/>
    <w:lvl w:ilvl="0" w:tplc="57023E5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9"/>
  </w:num>
  <w:num w:numId="2">
    <w:abstractNumId w:val="11"/>
  </w:num>
  <w:num w:numId="3">
    <w:abstractNumId w:val="3"/>
  </w:num>
  <w:num w:numId="4">
    <w:abstractNumId w:val="13"/>
  </w:num>
  <w:num w:numId="5">
    <w:abstractNumId w:val="8"/>
  </w:num>
  <w:num w:numId="6">
    <w:abstractNumId w:val="4"/>
  </w:num>
  <w:num w:numId="7">
    <w:abstractNumId w:val="20"/>
  </w:num>
  <w:num w:numId="8">
    <w:abstractNumId w:val="15"/>
  </w:num>
  <w:num w:numId="9">
    <w:abstractNumId w:val="1"/>
  </w:num>
  <w:num w:numId="10">
    <w:abstractNumId w:val="0"/>
  </w:num>
  <w:num w:numId="11">
    <w:abstractNumId w:val="12"/>
  </w:num>
  <w:num w:numId="12">
    <w:abstractNumId w:val="10"/>
  </w:num>
  <w:num w:numId="13">
    <w:abstractNumId w:val="6"/>
  </w:num>
  <w:num w:numId="14">
    <w:abstractNumId w:val="5"/>
  </w:num>
  <w:num w:numId="15">
    <w:abstractNumId w:val="7"/>
  </w:num>
  <w:num w:numId="16">
    <w:abstractNumId w:val="19"/>
  </w:num>
  <w:num w:numId="17">
    <w:abstractNumId w:val="16"/>
  </w:num>
  <w:num w:numId="18">
    <w:abstractNumId w:val="18"/>
  </w:num>
  <w:num w:numId="19">
    <w:abstractNumId w:val="17"/>
  </w:num>
  <w:num w:numId="20">
    <w:abstractNumId w:val="14"/>
  </w:num>
  <w:num w:numId="2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4CB"/>
    <w:rsid w:val="000342E4"/>
    <w:rsid w:val="00043AD7"/>
    <w:rsid w:val="00047110"/>
    <w:rsid w:val="00053D74"/>
    <w:rsid w:val="000648CA"/>
    <w:rsid w:val="000F01F8"/>
    <w:rsid w:val="000F414D"/>
    <w:rsid w:val="00127913"/>
    <w:rsid w:val="00143729"/>
    <w:rsid w:val="001674CB"/>
    <w:rsid w:val="0017362A"/>
    <w:rsid w:val="00183F48"/>
    <w:rsid w:val="001A1FB3"/>
    <w:rsid w:val="001A5263"/>
    <w:rsid w:val="00205448"/>
    <w:rsid w:val="00237E29"/>
    <w:rsid w:val="00242334"/>
    <w:rsid w:val="002A7953"/>
    <w:rsid w:val="002B78E5"/>
    <w:rsid w:val="002C7FA5"/>
    <w:rsid w:val="003016CF"/>
    <w:rsid w:val="00391DF4"/>
    <w:rsid w:val="003A3A9D"/>
    <w:rsid w:val="003B1FF4"/>
    <w:rsid w:val="003B4FEF"/>
    <w:rsid w:val="003D5BD2"/>
    <w:rsid w:val="00433698"/>
    <w:rsid w:val="004905CA"/>
    <w:rsid w:val="004A400A"/>
    <w:rsid w:val="004B6E27"/>
    <w:rsid w:val="004D70AF"/>
    <w:rsid w:val="00501E09"/>
    <w:rsid w:val="005471E3"/>
    <w:rsid w:val="00555A08"/>
    <w:rsid w:val="005B21F6"/>
    <w:rsid w:val="005C67EB"/>
    <w:rsid w:val="005D2A5C"/>
    <w:rsid w:val="0061117A"/>
    <w:rsid w:val="0061249B"/>
    <w:rsid w:val="00620ED4"/>
    <w:rsid w:val="006341B0"/>
    <w:rsid w:val="00690C39"/>
    <w:rsid w:val="006964F7"/>
    <w:rsid w:val="006D71DE"/>
    <w:rsid w:val="006F15B9"/>
    <w:rsid w:val="00726679"/>
    <w:rsid w:val="00734594"/>
    <w:rsid w:val="00744225"/>
    <w:rsid w:val="00750A17"/>
    <w:rsid w:val="0078149C"/>
    <w:rsid w:val="00797EA5"/>
    <w:rsid w:val="007A70A3"/>
    <w:rsid w:val="007F4D84"/>
    <w:rsid w:val="00806525"/>
    <w:rsid w:val="00810B64"/>
    <w:rsid w:val="00824E4D"/>
    <w:rsid w:val="008453D1"/>
    <w:rsid w:val="00871AF7"/>
    <w:rsid w:val="008838F6"/>
    <w:rsid w:val="0089709A"/>
    <w:rsid w:val="00964405"/>
    <w:rsid w:val="009D1106"/>
    <w:rsid w:val="00A162F1"/>
    <w:rsid w:val="00A27FE0"/>
    <w:rsid w:val="00A65616"/>
    <w:rsid w:val="00AD47EC"/>
    <w:rsid w:val="00B062F5"/>
    <w:rsid w:val="00B33674"/>
    <w:rsid w:val="00B46854"/>
    <w:rsid w:val="00B84F81"/>
    <w:rsid w:val="00B87B24"/>
    <w:rsid w:val="00BA1984"/>
    <w:rsid w:val="00BC21D8"/>
    <w:rsid w:val="00BF28CA"/>
    <w:rsid w:val="00C02039"/>
    <w:rsid w:val="00C06FC3"/>
    <w:rsid w:val="00C16ABF"/>
    <w:rsid w:val="00C515A2"/>
    <w:rsid w:val="00D1077D"/>
    <w:rsid w:val="00D13BD5"/>
    <w:rsid w:val="00D84C47"/>
    <w:rsid w:val="00D91195"/>
    <w:rsid w:val="00E03082"/>
    <w:rsid w:val="00E3467D"/>
    <w:rsid w:val="00E463A4"/>
    <w:rsid w:val="00E56D93"/>
    <w:rsid w:val="00F11F76"/>
    <w:rsid w:val="00F13BD6"/>
    <w:rsid w:val="00F23D75"/>
    <w:rsid w:val="00FA6EBC"/>
    <w:rsid w:val="00FD19F5"/>
    <w:rsid w:val="00FD6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89452"/>
  <w15:chartTrackingRefBased/>
  <w15:docId w15:val="{E93C29D2-C870-43CB-9408-9A5D0104F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594"/>
    <w:pPr>
      <w:keepNext/>
      <w:keepLines/>
      <w:spacing w:before="240" w:after="0"/>
      <w:jc w:val="center"/>
      <w:outlineLvl w:val="0"/>
    </w:pPr>
    <w:rPr>
      <w:rFonts w:ascii="Times New Roman" w:eastAsiaTheme="majorEastAsia" w:hAnsi="Times New Roman"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674CB"/>
    <w:pPr>
      <w:widowControl w:val="0"/>
      <w:spacing w:after="0" w:line="240" w:lineRule="auto"/>
      <w:ind w:left="553"/>
    </w:pPr>
    <w:rPr>
      <w:rFonts w:ascii="Times New Roman" w:eastAsia="Times New Roman" w:hAnsi="Times New Roman"/>
      <w:sz w:val="19"/>
      <w:szCs w:val="19"/>
    </w:rPr>
  </w:style>
  <w:style w:type="character" w:customStyle="1" w:styleId="BodyTextChar">
    <w:name w:val="Body Text Char"/>
    <w:basedOn w:val="DefaultParagraphFont"/>
    <w:link w:val="BodyText"/>
    <w:uiPriority w:val="1"/>
    <w:rsid w:val="001674CB"/>
    <w:rPr>
      <w:rFonts w:ascii="Times New Roman" w:eastAsia="Times New Roman" w:hAnsi="Times New Roman"/>
      <w:sz w:val="19"/>
      <w:szCs w:val="19"/>
    </w:rPr>
  </w:style>
  <w:style w:type="paragraph" w:styleId="ListParagraph">
    <w:name w:val="List Paragraph"/>
    <w:basedOn w:val="Normal"/>
    <w:uiPriority w:val="34"/>
    <w:qFormat/>
    <w:rsid w:val="001674CB"/>
    <w:pPr>
      <w:ind w:left="720"/>
      <w:contextualSpacing/>
    </w:pPr>
  </w:style>
  <w:style w:type="character" w:customStyle="1" w:styleId="Heading1Char">
    <w:name w:val="Heading 1 Char"/>
    <w:basedOn w:val="DefaultParagraphFont"/>
    <w:link w:val="Heading1"/>
    <w:uiPriority w:val="9"/>
    <w:rsid w:val="00734594"/>
    <w:rPr>
      <w:rFonts w:ascii="Times New Roman" w:eastAsiaTheme="majorEastAsia" w:hAnsi="Times New Roman" w:cstheme="majorBidi"/>
      <w:sz w:val="28"/>
      <w:szCs w:val="32"/>
    </w:rPr>
  </w:style>
  <w:style w:type="table" w:styleId="TableGrid">
    <w:name w:val="Table Grid"/>
    <w:basedOn w:val="TableNormal"/>
    <w:uiPriority w:val="39"/>
    <w:rsid w:val="00A65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8CA"/>
    <w:rPr>
      <w:rFonts w:ascii="Segoe UI" w:hAnsi="Segoe UI" w:cs="Segoe UI"/>
      <w:sz w:val="18"/>
      <w:szCs w:val="18"/>
    </w:rPr>
  </w:style>
  <w:style w:type="paragraph" w:styleId="NormalWeb">
    <w:name w:val="Normal (Web)"/>
    <w:basedOn w:val="Normal"/>
    <w:uiPriority w:val="99"/>
    <w:semiHidden/>
    <w:unhideWhenUsed/>
    <w:rsid w:val="00B84F81"/>
    <w:pPr>
      <w:spacing w:before="100" w:beforeAutospacing="1" w:after="100" w:afterAutospacing="1" w:line="240" w:lineRule="auto"/>
    </w:pPr>
    <w:rPr>
      <w:rFonts w:ascii="Times New Roman" w:eastAsia="Times New Roman" w:hAnsi="Times New Roman" w:cs="Times New Roman"/>
      <w:sz w:val="24"/>
      <w:szCs w:val="24"/>
      <w:lang w:val="ru-MD" w:eastAsia="ru-MD"/>
    </w:rPr>
  </w:style>
  <w:style w:type="character" w:styleId="Strong">
    <w:name w:val="Strong"/>
    <w:basedOn w:val="DefaultParagraphFont"/>
    <w:uiPriority w:val="22"/>
    <w:qFormat/>
    <w:rsid w:val="00B84F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00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3EA02-EF01-4489-8866-F1B3AF970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8</Pages>
  <Words>2664</Words>
  <Characters>15190</Characters>
  <Application>Microsoft Office Word</Application>
  <DocSecurity>0</DocSecurity>
  <Lines>126</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Ekko-Credit</dc:creator>
  <cp:keywords/>
  <dc:description/>
  <cp:lastModifiedBy>User</cp:lastModifiedBy>
  <cp:revision>11</cp:revision>
  <cp:lastPrinted>2019-11-01T10:07:00Z</cp:lastPrinted>
  <dcterms:created xsi:type="dcterms:W3CDTF">2019-09-24T05:39:00Z</dcterms:created>
  <dcterms:modified xsi:type="dcterms:W3CDTF">2019-11-06T11:47:00Z</dcterms:modified>
</cp:coreProperties>
</file>